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AF" w:rsidRDefault="00CE0DAF" w:rsidP="007F6AF5">
      <w:pPr>
        <w:spacing w:line="240" w:lineRule="atLeast"/>
        <w:jc w:val="center"/>
        <w:rPr>
          <w:b/>
          <w:sz w:val="28"/>
          <w:szCs w:val="28"/>
        </w:rPr>
      </w:pPr>
      <w:r>
        <w:rPr>
          <w:b/>
          <w:sz w:val="28"/>
          <w:szCs w:val="28"/>
        </w:rPr>
        <w:t>Государственное бюджетное учреждение Краснодарского края</w:t>
      </w:r>
    </w:p>
    <w:p w:rsidR="00CE0DAF" w:rsidRDefault="00CE0DAF" w:rsidP="007F6AF5">
      <w:pPr>
        <w:spacing w:line="240" w:lineRule="atLeast"/>
        <w:jc w:val="center"/>
        <w:rPr>
          <w:b/>
          <w:sz w:val="28"/>
          <w:szCs w:val="28"/>
        </w:rPr>
      </w:pPr>
      <w:r>
        <w:rPr>
          <w:b/>
          <w:sz w:val="28"/>
          <w:szCs w:val="28"/>
        </w:rPr>
        <w:t>«Краевой информационно-аналитический центр экологического мониторинга»</w:t>
      </w:r>
    </w:p>
    <w:p w:rsidR="00CE0DAF" w:rsidRDefault="00CE0DAF" w:rsidP="007F6AF5">
      <w:pPr>
        <w:spacing w:line="240" w:lineRule="atLeast"/>
        <w:jc w:val="center"/>
        <w:rPr>
          <w:b/>
          <w:sz w:val="28"/>
          <w:szCs w:val="28"/>
        </w:rPr>
      </w:pPr>
      <w:r>
        <w:rPr>
          <w:b/>
          <w:sz w:val="28"/>
          <w:szCs w:val="28"/>
        </w:rPr>
        <w:t>(ГБУ КК «КИАЦЭМ»)</w:t>
      </w:r>
    </w:p>
    <w:p w:rsidR="00CE0DAF" w:rsidRDefault="00CE0DAF" w:rsidP="007F6AF5">
      <w:pPr>
        <w:spacing w:line="240" w:lineRule="atLeast"/>
        <w:jc w:val="center"/>
        <w:rPr>
          <w:b/>
          <w:sz w:val="24"/>
          <w:szCs w:val="24"/>
        </w:rPr>
      </w:pP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Информация</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по вопросам организации и осуществления экологического мониторинга</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на территории Краснодарского края</w:t>
      </w:r>
    </w:p>
    <w:p w:rsidR="00CE0DAF" w:rsidRDefault="00CE0DAF" w:rsidP="00CE0DAF">
      <w:pPr>
        <w:pStyle w:val="a9"/>
        <w:tabs>
          <w:tab w:val="left" w:pos="-5245"/>
        </w:tabs>
        <w:spacing w:after="0" w:line="240" w:lineRule="auto"/>
        <w:ind w:left="0" w:firstLine="851"/>
        <w:jc w:val="center"/>
        <w:rPr>
          <w:rFonts w:ascii="Times New Roman" w:hAnsi="Times New Roman" w:cs="Times New Roman"/>
          <w:b/>
          <w:sz w:val="24"/>
          <w:szCs w:val="24"/>
        </w:rPr>
      </w:pPr>
    </w:p>
    <w:p w:rsidR="00985F97" w:rsidRDefault="00985F97" w:rsidP="00985F97">
      <w:pPr>
        <w:pStyle w:val="a9"/>
        <w:tabs>
          <w:tab w:val="left" w:pos="-5245"/>
        </w:tabs>
        <w:spacing w:after="0" w:line="240" w:lineRule="auto"/>
        <w:ind w:left="0" w:firstLine="851"/>
        <w:jc w:val="center"/>
        <w:rPr>
          <w:rFonts w:ascii="Times New Roman" w:hAnsi="Times New Roman" w:cs="Times New Roman"/>
          <w:b/>
          <w:sz w:val="28"/>
          <w:szCs w:val="28"/>
        </w:rPr>
      </w:pPr>
      <w:r w:rsidRPr="00666783">
        <w:rPr>
          <w:rFonts w:ascii="Times New Roman" w:hAnsi="Times New Roman" w:cs="Times New Roman"/>
          <w:b/>
          <w:sz w:val="28"/>
          <w:szCs w:val="28"/>
        </w:rPr>
        <w:t>Оперативный мониторинг состояния атмосферного воздуха</w:t>
      </w:r>
    </w:p>
    <w:p w:rsidR="007F6AF5" w:rsidRPr="00666783" w:rsidRDefault="007F6AF5" w:rsidP="00985F97">
      <w:pPr>
        <w:pStyle w:val="a9"/>
        <w:tabs>
          <w:tab w:val="left" w:pos="-5245"/>
        </w:tabs>
        <w:spacing w:after="0" w:line="240" w:lineRule="auto"/>
        <w:ind w:left="0" w:firstLine="851"/>
        <w:jc w:val="center"/>
        <w:rPr>
          <w:rFonts w:ascii="Times New Roman" w:hAnsi="Times New Roman" w:cs="Times New Roman"/>
          <w:b/>
          <w:sz w:val="28"/>
          <w:szCs w:val="28"/>
        </w:rPr>
      </w:pPr>
    </w:p>
    <w:p w:rsidR="00985F97" w:rsidRPr="00E623F4" w:rsidRDefault="00985F97" w:rsidP="00985F97">
      <w:pPr>
        <w:tabs>
          <w:tab w:val="left" w:pos="567"/>
        </w:tabs>
        <w:jc w:val="both"/>
        <w:rPr>
          <w:sz w:val="24"/>
          <w:szCs w:val="24"/>
        </w:rPr>
      </w:pPr>
      <w:r>
        <w:rPr>
          <w:sz w:val="28"/>
          <w:szCs w:val="28"/>
        </w:rPr>
        <w:t xml:space="preserve"> </w:t>
      </w:r>
      <w:r>
        <w:rPr>
          <w:sz w:val="28"/>
          <w:szCs w:val="28"/>
        </w:rPr>
        <w:tab/>
      </w:r>
      <w:r w:rsidRPr="00E623F4">
        <w:rPr>
          <w:sz w:val="24"/>
          <w:szCs w:val="24"/>
        </w:rPr>
        <w:t xml:space="preserve">В </w:t>
      </w:r>
      <w:r w:rsidR="008F7D51">
        <w:rPr>
          <w:sz w:val="24"/>
          <w:szCs w:val="24"/>
        </w:rPr>
        <w:t>декабре</w:t>
      </w:r>
      <w:r w:rsidRPr="00E623F4">
        <w:rPr>
          <w:sz w:val="24"/>
          <w:szCs w:val="24"/>
        </w:rPr>
        <w:t xml:space="preserve"> 2012 года  контроль состояния атмосферного воздуха в районе ООО «</w:t>
      </w:r>
      <w:proofErr w:type="spellStart"/>
      <w:r w:rsidRPr="00E623F4">
        <w:rPr>
          <w:sz w:val="24"/>
          <w:szCs w:val="24"/>
        </w:rPr>
        <w:t>ЕвроХим-Белореченские</w:t>
      </w:r>
      <w:proofErr w:type="spellEnd"/>
      <w:r w:rsidRPr="00E623F4">
        <w:rPr>
          <w:sz w:val="24"/>
          <w:szCs w:val="24"/>
        </w:rPr>
        <w:t xml:space="preserve"> </w:t>
      </w:r>
      <w:proofErr w:type="spellStart"/>
      <w:r w:rsidRPr="00E623F4">
        <w:rPr>
          <w:sz w:val="24"/>
          <w:szCs w:val="24"/>
        </w:rPr>
        <w:t>минудобрения</w:t>
      </w:r>
      <w:proofErr w:type="spellEnd"/>
      <w:r w:rsidRPr="00E623F4">
        <w:rPr>
          <w:sz w:val="24"/>
          <w:szCs w:val="24"/>
        </w:rPr>
        <w:t xml:space="preserve">» осуществлялся автоматическими станциями в хуторе </w:t>
      </w:r>
      <w:proofErr w:type="spellStart"/>
      <w:r w:rsidRPr="00E623F4">
        <w:rPr>
          <w:sz w:val="24"/>
          <w:szCs w:val="24"/>
        </w:rPr>
        <w:t>Долгогусевский</w:t>
      </w:r>
      <w:proofErr w:type="spellEnd"/>
      <w:r w:rsidRPr="00E623F4">
        <w:rPr>
          <w:sz w:val="24"/>
          <w:szCs w:val="24"/>
        </w:rPr>
        <w:t xml:space="preserve"> и поселке Мирный по следующим показателям: азота II оксид (NO), азота диоксид (NO</w:t>
      </w:r>
      <w:r w:rsidRPr="00E623F4">
        <w:rPr>
          <w:sz w:val="24"/>
          <w:szCs w:val="24"/>
          <w:vertAlign w:val="subscript"/>
        </w:rPr>
        <w:t>2</w:t>
      </w:r>
      <w:r w:rsidRPr="00E623F4">
        <w:rPr>
          <w:sz w:val="24"/>
          <w:szCs w:val="24"/>
        </w:rPr>
        <w:t>), серы диоксид (SO</w:t>
      </w:r>
      <w:r w:rsidRPr="00E623F4">
        <w:rPr>
          <w:sz w:val="24"/>
          <w:szCs w:val="24"/>
          <w:vertAlign w:val="subscript"/>
        </w:rPr>
        <w:t>2</w:t>
      </w:r>
      <w:r w:rsidRPr="00E623F4">
        <w:rPr>
          <w:sz w:val="24"/>
          <w:szCs w:val="24"/>
        </w:rPr>
        <w:t>), аммиак (NH</w:t>
      </w:r>
      <w:r w:rsidRPr="00E623F4">
        <w:rPr>
          <w:sz w:val="24"/>
          <w:szCs w:val="24"/>
          <w:vertAlign w:val="subscript"/>
        </w:rPr>
        <w:t>3</w:t>
      </w:r>
      <w:r w:rsidRPr="00E623F4">
        <w:rPr>
          <w:sz w:val="24"/>
          <w:szCs w:val="24"/>
        </w:rPr>
        <w:t>), фтористый водород (</w:t>
      </w:r>
      <w:r w:rsidRPr="00E623F4">
        <w:rPr>
          <w:sz w:val="24"/>
          <w:szCs w:val="24"/>
          <w:lang w:val="en-US"/>
        </w:rPr>
        <w:t>HF</w:t>
      </w:r>
      <w:r w:rsidRPr="00E623F4">
        <w:rPr>
          <w:sz w:val="24"/>
          <w:szCs w:val="24"/>
        </w:rPr>
        <w:t xml:space="preserve">), метеопараметры.   </w:t>
      </w:r>
    </w:p>
    <w:p w:rsidR="00985F97" w:rsidRDefault="00985F97" w:rsidP="00985F97">
      <w:pPr>
        <w:tabs>
          <w:tab w:val="left" w:pos="567"/>
        </w:tabs>
        <w:jc w:val="both"/>
        <w:rPr>
          <w:sz w:val="28"/>
          <w:szCs w:val="28"/>
        </w:rPr>
      </w:pPr>
    </w:p>
    <w:p w:rsidR="008F7D51" w:rsidRPr="004C6D01" w:rsidRDefault="008F7D51" w:rsidP="008F7D51">
      <w:pPr>
        <w:pStyle w:val="a9"/>
        <w:tabs>
          <w:tab w:val="left" w:pos="-5245"/>
        </w:tabs>
        <w:spacing w:after="0" w:line="240" w:lineRule="auto"/>
        <w:ind w:left="0"/>
        <w:jc w:val="center"/>
        <w:rPr>
          <w:rFonts w:ascii="Times New Roman" w:hAnsi="Times New Roman" w:cs="Times New Roman"/>
          <w:b/>
          <w:sz w:val="20"/>
          <w:szCs w:val="20"/>
        </w:rPr>
      </w:pPr>
      <w:r w:rsidRPr="004C6D01">
        <w:rPr>
          <w:rFonts w:ascii="Times New Roman" w:hAnsi="Times New Roman" w:cs="Times New Roman"/>
          <w:b/>
          <w:sz w:val="20"/>
          <w:szCs w:val="20"/>
        </w:rPr>
        <w:t xml:space="preserve">График </w:t>
      </w:r>
    </w:p>
    <w:p w:rsidR="004C6D01" w:rsidRPr="004C6D01" w:rsidRDefault="008F7D51" w:rsidP="008F7D51">
      <w:pPr>
        <w:pStyle w:val="a9"/>
        <w:tabs>
          <w:tab w:val="left" w:pos="-5245"/>
        </w:tabs>
        <w:spacing w:after="0" w:line="240" w:lineRule="auto"/>
        <w:ind w:left="0"/>
        <w:jc w:val="center"/>
        <w:rPr>
          <w:rFonts w:ascii="Times New Roman" w:hAnsi="Times New Roman" w:cs="Times New Roman"/>
          <w:b/>
          <w:sz w:val="20"/>
          <w:szCs w:val="20"/>
        </w:rPr>
      </w:pPr>
      <w:r w:rsidRPr="004C6D01">
        <w:rPr>
          <w:rFonts w:ascii="Times New Roman" w:hAnsi="Times New Roman" w:cs="Times New Roman"/>
          <w:b/>
          <w:sz w:val="20"/>
          <w:szCs w:val="20"/>
        </w:rPr>
        <w:t xml:space="preserve">среднесуточных значений концентраций загрязняющих веществ в атмосферном воздухе </w:t>
      </w:r>
    </w:p>
    <w:p w:rsidR="008F7D51" w:rsidRPr="004C6D01" w:rsidRDefault="008F7D51" w:rsidP="008F7D51">
      <w:pPr>
        <w:pStyle w:val="a9"/>
        <w:tabs>
          <w:tab w:val="left" w:pos="-5245"/>
        </w:tabs>
        <w:spacing w:after="0" w:line="240" w:lineRule="auto"/>
        <w:ind w:left="0"/>
        <w:jc w:val="center"/>
        <w:rPr>
          <w:rFonts w:ascii="Times New Roman" w:hAnsi="Times New Roman" w:cs="Times New Roman"/>
          <w:b/>
          <w:sz w:val="20"/>
          <w:szCs w:val="20"/>
        </w:rPr>
      </w:pPr>
      <w:r w:rsidRPr="004C6D01">
        <w:rPr>
          <w:rFonts w:ascii="Times New Roman" w:hAnsi="Times New Roman" w:cs="Times New Roman"/>
          <w:b/>
          <w:sz w:val="20"/>
          <w:szCs w:val="20"/>
        </w:rPr>
        <w:t xml:space="preserve">в период с 01.12.2012г. по 31.12.2012г. </w:t>
      </w:r>
    </w:p>
    <w:p w:rsidR="008F7D51" w:rsidRPr="004C6D01" w:rsidRDefault="008F7D51" w:rsidP="008F7D51">
      <w:pPr>
        <w:pStyle w:val="a9"/>
        <w:tabs>
          <w:tab w:val="left" w:pos="-5245"/>
        </w:tabs>
        <w:spacing w:after="0" w:line="240" w:lineRule="auto"/>
        <w:ind w:left="0"/>
        <w:jc w:val="center"/>
        <w:rPr>
          <w:rFonts w:ascii="Times New Roman" w:hAnsi="Times New Roman" w:cs="Times New Roman"/>
          <w:b/>
          <w:sz w:val="20"/>
          <w:szCs w:val="20"/>
        </w:rPr>
      </w:pPr>
      <w:r w:rsidRPr="004C6D01">
        <w:rPr>
          <w:rFonts w:ascii="Times New Roman" w:hAnsi="Times New Roman" w:cs="Times New Roman"/>
          <w:b/>
          <w:sz w:val="20"/>
          <w:szCs w:val="20"/>
        </w:rPr>
        <w:t xml:space="preserve">(автоматическая станция </w:t>
      </w:r>
      <w:proofErr w:type="spellStart"/>
      <w:r w:rsidRPr="004C6D01">
        <w:rPr>
          <w:rFonts w:ascii="Times New Roman" w:hAnsi="Times New Roman" w:cs="Times New Roman"/>
          <w:b/>
          <w:sz w:val="20"/>
          <w:szCs w:val="20"/>
        </w:rPr>
        <w:t>х</w:t>
      </w:r>
      <w:proofErr w:type="gramStart"/>
      <w:r w:rsidRPr="004C6D01">
        <w:rPr>
          <w:rFonts w:ascii="Times New Roman" w:hAnsi="Times New Roman" w:cs="Times New Roman"/>
          <w:b/>
          <w:sz w:val="20"/>
          <w:szCs w:val="20"/>
        </w:rPr>
        <w:t>.Д</w:t>
      </w:r>
      <w:proofErr w:type="gramEnd"/>
      <w:r w:rsidRPr="004C6D01">
        <w:rPr>
          <w:rFonts w:ascii="Times New Roman" w:hAnsi="Times New Roman" w:cs="Times New Roman"/>
          <w:b/>
          <w:sz w:val="20"/>
          <w:szCs w:val="20"/>
        </w:rPr>
        <w:t>олгогусевский</w:t>
      </w:r>
      <w:proofErr w:type="spellEnd"/>
      <w:r w:rsidRPr="004C6D01">
        <w:rPr>
          <w:rFonts w:ascii="Times New Roman" w:hAnsi="Times New Roman" w:cs="Times New Roman"/>
          <w:b/>
          <w:sz w:val="20"/>
          <w:szCs w:val="20"/>
        </w:rPr>
        <w:t>)</w:t>
      </w:r>
    </w:p>
    <w:p w:rsidR="00B61F06" w:rsidRDefault="008F7D51" w:rsidP="004C6D01">
      <w:pPr>
        <w:spacing w:line="360" w:lineRule="auto"/>
        <w:jc w:val="center"/>
        <w:rPr>
          <w:sz w:val="28"/>
          <w:szCs w:val="28"/>
        </w:rPr>
      </w:pPr>
      <w:r>
        <w:rPr>
          <w:b/>
          <w:noProof/>
          <w:sz w:val="28"/>
          <w:szCs w:val="28"/>
        </w:rPr>
        <w:drawing>
          <wp:inline distT="0" distB="0" distL="0" distR="0" wp14:anchorId="3C6DC6F4" wp14:editId="5A764346">
            <wp:extent cx="7814571" cy="2936383"/>
            <wp:effectExtent l="0" t="0" r="0" b="0"/>
            <wp:docPr id="2" name="Рисунок 2" descr="C:\Users\СИТЦЭК\Desktop\ПОСТЫ наблюдения\Белореченск-Еврохим\Долгогусевский\ДЕКАБРЬ\долгогус  декабрь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ИТЦЭК\Desktop\ПОСТЫ наблюдения\Белореченск-Еврохим\Долгогусевский\ДЕКАБРЬ\долгогус  декабрь 2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1403" cy="2938950"/>
                    </a:xfrm>
                    <a:prstGeom prst="rect">
                      <a:avLst/>
                    </a:prstGeom>
                    <a:noFill/>
                    <a:ln>
                      <a:noFill/>
                    </a:ln>
                  </pic:spPr>
                </pic:pic>
              </a:graphicData>
            </a:graphic>
          </wp:inline>
        </w:drawing>
      </w:r>
    </w:p>
    <w:p w:rsidR="004C6D01" w:rsidRDefault="004C6D01" w:rsidP="008F7D51">
      <w:pPr>
        <w:ind w:left="-426" w:hanging="74"/>
        <w:jc w:val="center"/>
        <w:rPr>
          <w:b/>
        </w:rPr>
      </w:pPr>
    </w:p>
    <w:p w:rsidR="007F6AF5" w:rsidRDefault="007F6AF5" w:rsidP="008F7D51">
      <w:pPr>
        <w:ind w:left="-426" w:hanging="74"/>
        <w:jc w:val="center"/>
        <w:rPr>
          <w:b/>
        </w:rPr>
      </w:pPr>
    </w:p>
    <w:p w:rsidR="008F7D51" w:rsidRPr="004C6D01" w:rsidRDefault="008F7D51" w:rsidP="008F7D51">
      <w:pPr>
        <w:ind w:left="-426" w:hanging="74"/>
        <w:jc w:val="center"/>
        <w:rPr>
          <w:b/>
        </w:rPr>
      </w:pPr>
      <w:r w:rsidRPr="004C6D01">
        <w:rPr>
          <w:b/>
        </w:rPr>
        <w:lastRenderedPageBreak/>
        <w:t xml:space="preserve">График </w:t>
      </w:r>
    </w:p>
    <w:p w:rsidR="004C6D01" w:rsidRPr="004C6D01" w:rsidRDefault="008F7D51" w:rsidP="008F7D51">
      <w:pPr>
        <w:ind w:left="-426" w:hanging="74"/>
        <w:jc w:val="center"/>
        <w:rPr>
          <w:b/>
        </w:rPr>
      </w:pPr>
      <w:r w:rsidRPr="004C6D01">
        <w:rPr>
          <w:b/>
        </w:rPr>
        <w:t xml:space="preserve">среднесуточных значений концентраций загрязняющих веществ в атмосферном воздухе </w:t>
      </w:r>
    </w:p>
    <w:p w:rsidR="008F7D51" w:rsidRPr="004C6D01" w:rsidRDefault="008F7D51" w:rsidP="008F7D51">
      <w:pPr>
        <w:ind w:left="-426" w:hanging="74"/>
        <w:jc w:val="center"/>
        <w:rPr>
          <w:b/>
        </w:rPr>
      </w:pPr>
      <w:r w:rsidRPr="004C6D01">
        <w:rPr>
          <w:b/>
        </w:rPr>
        <w:t xml:space="preserve">в период с 01.12.2012г. по 31.12.2012г.  </w:t>
      </w:r>
    </w:p>
    <w:p w:rsidR="008F7D51" w:rsidRPr="004C6D01" w:rsidRDefault="008F7D51" w:rsidP="008F7D51">
      <w:pPr>
        <w:ind w:left="-426" w:hanging="74"/>
        <w:jc w:val="center"/>
        <w:rPr>
          <w:b/>
        </w:rPr>
      </w:pPr>
      <w:r w:rsidRPr="004C6D01">
        <w:rPr>
          <w:b/>
        </w:rPr>
        <w:t xml:space="preserve">(автоматическая станция </w:t>
      </w:r>
      <w:proofErr w:type="spellStart"/>
      <w:r w:rsidRPr="004C6D01">
        <w:rPr>
          <w:b/>
        </w:rPr>
        <w:t>п</w:t>
      </w:r>
      <w:proofErr w:type="gramStart"/>
      <w:r w:rsidRPr="004C6D01">
        <w:rPr>
          <w:b/>
        </w:rPr>
        <w:t>.М</w:t>
      </w:r>
      <w:proofErr w:type="gramEnd"/>
      <w:r w:rsidRPr="004C6D01">
        <w:rPr>
          <w:b/>
        </w:rPr>
        <w:t>ирный</w:t>
      </w:r>
      <w:proofErr w:type="spellEnd"/>
      <w:r w:rsidRPr="004C6D01">
        <w:rPr>
          <w:b/>
        </w:rPr>
        <w:t>)</w:t>
      </w:r>
    </w:p>
    <w:p w:rsidR="004C6D01" w:rsidRDefault="008F7D51" w:rsidP="007F6AF5">
      <w:pPr>
        <w:ind w:left="567"/>
        <w:jc w:val="center"/>
        <w:rPr>
          <w:b/>
        </w:rPr>
      </w:pPr>
      <w:r>
        <w:rPr>
          <w:b/>
          <w:noProof/>
          <w:sz w:val="28"/>
          <w:szCs w:val="28"/>
        </w:rPr>
        <w:drawing>
          <wp:inline distT="0" distB="0" distL="0" distR="0" wp14:anchorId="1C86E933" wp14:editId="7EAD15E0">
            <wp:extent cx="7405352" cy="2170090"/>
            <wp:effectExtent l="0" t="0" r="5715" b="1905"/>
            <wp:docPr id="5" name="Рисунок 5" descr="C:\Users\СИТЦЭК\Desktop\ПОСТЫ наблюдения\Белореченск-Еврохим\Мирный\ДЕКАБРЬ\мирный декабрь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ИТЦЭК\Desktop\ПОСТЫ наблюдения\Белореченск-Еврохим\Мирный\ДЕКАБРЬ\мирный декабрь 20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4751" cy="2172844"/>
                    </a:xfrm>
                    <a:prstGeom prst="rect">
                      <a:avLst/>
                    </a:prstGeom>
                    <a:noFill/>
                    <a:ln>
                      <a:noFill/>
                    </a:ln>
                  </pic:spPr>
                </pic:pic>
              </a:graphicData>
            </a:graphic>
          </wp:inline>
        </w:drawing>
      </w:r>
    </w:p>
    <w:p w:rsidR="004C6D01" w:rsidRDefault="004C6D01" w:rsidP="004C6D01">
      <w:pPr>
        <w:ind w:left="-426" w:hanging="74"/>
        <w:rPr>
          <w:b/>
        </w:rPr>
      </w:pPr>
    </w:p>
    <w:p w:rsidR="004C6D01" w:rsidRDefault="004C6D01" w:rsidP="004C6D01">
      <w:pPr>
        <w:ind w:left="-426" w:hanging="74"/>
        <w:rPr>
          <w:b/>
        </w:rPr>
      </w:pPr>
    </w:p>
    <w:p w:rsidR="008F7D51" w:rsidRPr="004C6D01" w:rsidRDefault="008F7D51" w:rsidP="004C6D01">
      <w:pPr>
        <w:ind w:left="-426" w:hanging="74"/>
        <w:jc w:val="center"/>
        <w:rPr>
          <w:b/>
        </w:rPr>
      </w:pPr>
      <w:r w:rsidRPr="004C6D01">
        <w:rPr>
          <w:b/>
        </w:rPr>
        <w:t>График</w:t>
      </w:r>
    </w:p>
    <w:p w:rsidR="004C6D01" w:rsidRPr="004C6D01" w:rsidRDefault="008F7D51" w:rsidP="004C6D01">
      <w:pPr>
        <w:ind w:left="-426" w:hanging="74"/>
        <w:jc w:val="center"/>
        <w:rPr>
          <w:b/>
        </w:rPr>
      </w:pPr>
      <w:r w:rsidRPr="004C6D01">
        <w:rPr>
          <w:b/>
        </w:rPr>
        <w:t>среднечасовых значений концентраций загрязняющих веществ в</w:t>
      </w:r>
      <w:r w:rsidR="004C6D01" w:rsidRPr="004C6D01">
        <w:rPr>
          <w:b/>
        </w:rPr>
        <w:t xml:space="preserve"> </w:t>
      </w:r>
      <w:r w:rsidRPr="004C6D01">
        <w:rPr>
          <w:b/>
        </w:rPr>
        <w:t xml:space="preserve">атмосферном воздухе </w:t>
      </w:r>
    </w:p>
    <w:p w:rsidR="008F7D51" w:rsidRPr="004C6D01" w:rsidRDefault="008F7D51" w:rsidP="004C6D01">
      <w:pPr>
        <w:ind w:left="-426" w:hanging="74"/>
        <w:jc w:val="center"/>
        <w:rPr>
          <w:b/>
        </w:rPr>
      </w:pPr>
      <w:r w:rsidRPr="004C6D01">
        <w:rPr>
          <w:b/>
        </w:rPr>
        <w:t>в период с 19.12.2012г. по 20.12.2012г.</w:t>
      </w:r>
    </w:p>
    <w:p w:rsidR="008F7D51" w:rsidRPr="004C6D01" w:rsidRDefault="008F7D51" w:rsidP="004C6D01">
      <w:pPr>
        <w:ind w:left="-426" w:hanging="74"/>
        <w:jc w:val="center"/>
        <w:rPr>
          <w:b/>
        </w:rPr>
      </w:pPr>
      <w:r w:rsidRPr="004C6D01">
        <w:rPr>
          <w:b/>
        </w:rPr>
        <w:t xml:space="preserve">(автоматическая станция </w:t>
      </w:r>
      <w:proofErr w:type="spellStart"/>
      <w:r w:rsidRPr="004C6D01">
        <w:rPr>
          <w:b/>
        </w:rPr>
        <w:t>п</w:t>
      </w:r>
      <w:proofErr w:type="gramStart"/>
      <w:r w:rsidRPr="004C6D01">
        <w:rPr>
          <w:b/>
        </w:rPr>
        <w:t>.М</w:t>
      </w:r>
      <w:proofErr w:type="gramEnd"/>
      <w:r w:rsidRPr="004C6D01">
        <w:rPr>
          <w:b/>
        </w:rPr>
        <w:t>ирный</w:t>
      </w:r>
      <w:proofErr w:type="spellEnd"/>
      <w:r w:rsidRPr="004C6D01">
        <w:rPr>
          <w:b/>
        </w:rPr>
        <w:t>)</w:t>
      </w:r>
    </w:p>
    <w:p w:rsidR="008F7D51" w:rsidRPr="004C6D01" w:rsidRDefault="008F7D51" w:rsidP="004C6D01">
      <w:pPr>
        <w:ind w:firstLine="567"/>
        <w:jc w:val="center"/>
        <w:rPr>
          <w:sz w:val="24"/>
          <w:szCs w:val="24"/>
        </w:rPr>
      </w:pPr>
    </w:p>
    <w:p w:rsidR="008F7D51" w:rsidRDefault="008F7D51" w:rsidP="00DE70F9">
      <w:pPr>
        <w:tabs>
          <w:tab w:val="left" w:pos="567"/>
        </w:tabs>
        <w:spacing w:line="360" w:lineRule="auto"/>
        <w:jc w:val="center"/>
        <w:rPr>
          <w:sz w:val="28"/>
          <w:szCs w:val="28"/>
        </w:rPr>
      </w:pPr>
      <w:r>
        <w:rPr>
          <w:noProof/>
        </w:rPr>
        <w:drawing>
          <wp:inline distT="0" distB="0" distL="0" distR="0" wp14:anchorId="4E81435C" wp14:editId="5001F7F0">
            <wp:extent cx="7374759" cy="2826912"/>
            <wp:effectExtent l="0" t="0" r="0" b="0"/>
            <wp:docPr id="3" name="Рисунок 3" descr="C:\Users\СИТЦЭК\Desktop\ПОСТЫ наблюдения\Белореченск-Еврохим\Мирный\ДЕКАБРЬ\Грфик превышение мирный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ТЦЭК\Desktop\ПОСТЫ наблюдения\Белореченск-Еврохим\Мирный\ДЕКАБРЬ\Грфик превышение мирный 20.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943" cy="2838482"/>
                    </a:xfrm>
                    <a:prstGeom prst="rect">
                      <a:avLst/>
                    </a:prstGeom>
                    <a:noFill/>
                    <a:ln>
                      <a:noFill/>
                    </a:ln>
                  </pic:spPr>
                </pic:pic>
              </a:graphicData>
            </a:graphic>
          </wp:inline>
        </w:drawing>
      </w:r>
    </w:p>
    <w:p w:rsidR="008F7D51" w:rsidRPr="007F6AF5" w:rsidRDefault="008F7D51" w:rsidP="008F7D51">
      <w:pPr>
        <w:ind w:left="708" w:firstLine="567"/>
        <w:jc w:val="both"/>
        <w:rPr>
          <w:sz w:val="24"/>
          <w:szCs w:val="24"/>
        </w:rPr>
      </w:pPr>
      <w:r w:rsidRPr="007F6AF5">
        <w:rPr>
          <w:sz w:val="24"/>
          <w:szCs w:val="24"/>
        </w:rPr>
        <w:lastRenderedPageBreak/>
        <w:t xml:space="preserve">В декабре 2012 года  автоматической станцией в </w:t>
      </w:r>
      <w:proofErr w:type="spellStart"/>
      <w:r w:rsidRPr="007F6AF5">
        <w:rPr>
          <w:sz w:val="24"/>
          <w:szCs w:val="24"/>
        </w:rPr>
        <w:t>п</w:t>
      </w:r>
      <w:proofErr w:type="gramStart"/>
      <w:r w:rsidRPr="007F6AF5">
        <w:rPr>
          <w:sz w:val="24"/>
          <w:szCs w:val="24"/>
        </w:rPr>
        <w:t>.М</w:t>
      </w:r>
      <w:proofErr w:type="gramEnd"/>
      <w:r w:rsidRPr="007F6AF5">
        <w:rPr>
          <w:sz w:val="24"/>
          <w:szCs w:val="24"/>
        </w:rPr>
        <w:t>ирный</w:t>
      </w:r>
      <w:proofErr w:type="spellEnd"/>
      <w:r w:rsidRPr="007F6AF5">
        <w:rPr>
          <w:sz w:val="24"/>
          <w:szCs w:val="24"/>
        </w:rPr>
        <w:t xml:space="preserve">  превышений ПДК загрязняющих веществ в атмосферном воздухе не зафиксировано.</w:t>
      </w:r>
    </w:p>
    <w:p w:rsidR="008F7D51" w:rsidRPr="007F6AF5" w:rsidRDefault="008F7D51" w:rsidP="008F7D51">
      <w:pPr>
        <w:ind w:left="567" w:firstLine="708"/>
        <w:jc w:val="both"/>
        <w:rPr>
          <w:sz w:val="24"/>
          <w:szCs w:val="24"/>
        </w:rPr>
      </w:pPr>
      <w:r w:rsidRPr="007F6AF5">
        <w:rPr>
          <w:sz w:val="24"/>
          <w:szCs w:val="24"/>
        </w:rPr>
        <w:t xml:space="preserve">В период  наблюдений с 19 по 20 декабря 2012 года  автоматической станцией в </w:t>
      </w:r>
      <w:proofErr w:type="spellStart"/>
      <w:r w:rsidRPr="007F6AF5">
        <w:rPr>
          <w:sz w:val="24"/>
          <w:szCs w:val="24"/>
        </w:rPr>
        <w:t>х</w:t>
      </w:r>
      <w:proofErr w:type="gramStart"/>
      <w:r w:rsidRPr="007F6AF5">
        <w:rPr>
          <w:sz w:val="24"/>
          <w:szCs w:val="24"/>
        </w:rPr>
        <w:t>.Д</w:t>
      </w:r>
      <w:proofErr w:type="gramEnd"/>
      <w:r w:rsidRPr="007F6AF5">
        <w:rPr>
          <w:sz w:val="24"/>
          <w:szCs w:val="24"/>
        </w:rPr>
        <w:t>олгогусевский</w:t>
      </w:r>
      <w:proofErr w:type="spellEnd"/>
      <w:r w:rsidRPr="007F6AF5">
        <w:rPr>
          <w:sz w:val="24"/>
          <w:szCs w:val="24"/>
        </w:rPr>
        <w:t xml:space="preserve">   зафиксировано максимально разовое превышение ПДК по фтористому водороду до 1</w:t>
      </w:r>
      <w:r w:rsidR="007F6AF5" w:rsidRPr="007F6AF5">
        <w:rPr>
          <w:sz w:val="24"/>
          <w:szCs w:val="24"/>
        </w:rPr>
        <w:t>500</w:t>
      </w:r>
      <w:r w:rsidRPr="007F6AF5">
        <w:rPr>
          <w:sz w:val="24"/>
          <w:szCs w:val="24"/>
        </w:rPr>
        <w:t xml:space="preserve"> раз, что связано со сбоем  работы </w:t>
      </w:r>
      <w:r w:rsidR="007F6AF5" w:rsidRPr="007F6AF5">
        <w:rPr>
          <w:sz w:val="24"/>
          <w:szCs w:val="24"/>
        </w:rPr>
        <w:t>газоанализатора</w:t>
      </w:r>
      <w:r w:rsidRPr="007F6AF5">
        <w:rPr>
          <w:sz w:val="24"/>
          <w:szCs w:val="24"/>
        </w:rPr>
        <w:t xml:space="preserve"> ГАНК-4. </w:t>
      </w:r>
    </w:p>
    <w:p w:rsidR="008F7D51" w:rsidRPr="007F6AF5" w:rsidRDefault="008F7D51" w:rsidP="008F7D51">
      <w:pPr>
        <w:ind w:left="708" w:firstLine="568"/>
        <w:jc w:val="both"/>
        <w:rPr>
          <w:sz w:val="24"/>
          <w:szCs w:val="24"/>
        </w:rPr>
      </w:pPr>
      <w:r w:rsidRPr="007F6AF5">
        <w:rPr>
          <w:sz w:val="24"/>
          <w:szCs w:val="24"/>
        </w:rPr>
        <w:t xml:space="preserve">В декабре месяце отмечается неустойчивая работа измерительного комплекса автоматических станций, что обусловлено перебоями подачи электроэнергии. </w:t>
      </w:r>
    </w:p>
    <w:p w:rsidR="008F7D51" w:rsidRDefault="008F7D51" w:rsidP="008F7D51">
      <w:pPr>
        <w:jc w:val="center"/>
        <w:rPr>
          <w:b/>
          <w:sz w:val="28"/>
          <w:szCs w:val="28"/>
        </w:rPr>
      </w:pPr>
    </w:p>
    <w:p w:rsidR="008F7D51" w:rsidRDefault="008F7D51" w:rsidP="008F7D51">
      <w:pPr>
        <w:jc w:val="center"/>
        <w:rPr>
          <w:b/>
          <w:sz w:val="28"/>
          <w:szCs w:val="28"/>
        </w:rPr>
      </w:pPr>
    </w:p>
    <w:p w:rsidR="008F7D51" w:rsidRPr="007F6AF5" w:rsidRDefault="008F7D51" w:rsidP="008F7D51">
      <w:pPr>
        <w:spacing w:line="360" w:lineRule="auto"/>
        <w:jc w:val="center"/>
        <w:rPr>
          <w:b/>
          <w:sz w:val="24"/>
          <w:szCs w:val="24"/>
        </w:rPr>
      </w:pPr>
      <w:r w:rsidRPr="007F6AF5">
        <w:rPr>
          <w:b/>
          <w:sz w:val="24"/>
          <w:szCs w:val="24"/>
        </w:rPr>
        <w:t>Мониторинг состояния атмосферного воздуха в г.Краснодаре</w:t>
      </w:r>
    </w:p>
    <w:p w:rsidR="008F7D51" w:rsidRPr="007F6AF5" w:rsidRDefault="008F7D51" w:rsidP="008F7D51">
      <w:pPr>
        <w:jc w:val="both"/>
        <w:rPr>
          <w:sz w:val="24"/>
          <w:szCs w:val="24"/>
        </w:rPr>
      </w:pPr>
      <w:r w:rsidRPr="007F6AF5">
        <w:rPr>
          <w:sz w:val="24"/>
          <w:szCs w:val="24"/>
        </w:rPr>
        <w:t xml:space="preserve">             Мониторинг состояния атмосферного воздуха на территории муниципального образования </w:t>
      </w:r>
      <w:proofErr w:type="spellStart"/>
      <w:r w:rsidRPr="007F6AF5">
        <w:rPr>
          <w:sz w:val="24"/>
          <w:szCs w:val="24"/>
        </w:rPr>
        <w:t>г</w:t>
      </w:r>
      <w:proofErr w:type="gramStart"/>
      <w:r w:rsidRPr="007F6AF5">
        <w:rPr>
          <w:sz w:val="24"/>
          <w:szCs w:val="24"/>
        </w:rPr>
        <w:t>.К</w:t>
      </w:r>
      <w:proofErr w:type="gramEnd"/>
      <w:r w:rsidRPr="007F6AF5">
        <w:rPr>
          <w:sz w:val="24"/>
          <w:szCs w:val="24"/>
        </w:rPr>
        <w:t>раснодар</w:t>
      </w:r>
      <w:proofErr w:type="spellEnd"/>
      <w:r w:rsidRPr="007F6AF5">
        <w:rPr>
          <w:sz w:val="24"/>
          <w:szCs w:val="24"/>
        </w:rPr>
        <w:t xml:space="preserve"> в декабре 2012 года осуществлялся муниципальным казенным учреждением </w:t>
      </w:r>
      <w:proofErr w:type="spellStart"/>
      <w:r w:rsidRPr="007F6AF5">
        <w:rPr>
          <w:sz w:val="24"/>
          <w:szCs w:val="24"/>
        </w:rPr>
        <w:t>г.Краснодара</w:t>
      </w:r>
      <w:proofErr w:type="spellEnd"/>
      <w:r w:rsidRPr="007F6AF5">
        <w:rPr>
          <w:sz w:val="24"/>
          <w:szCs w:val="24"/>
        </w:rPr>
        <w:t xml:space="preserve">  «Служба по охране окружающей среды» на  двух стационарных  автоматических  постах контроля атмосферного воздуха (ПКЗ-1 и  ПКЗ-2), расположенных на ул. Постовой, 34  и ул. Тургенева-</w:t>
      </w:r>
      <w:proofErr w:type="spellStart"/>
      <w:r w:rsidRPr="007F6AF5">
        <w:rPr>
          <w:sz w:val="24"/>
          <w:szCs w:val="24"/>
        </w:rPr>
        <w:t>Атарбекова</w:t>
      </w:r>
      <w:proofErr w:type="spellEnd"/>
      <w:r w:rsidRPr="007F6AF5">
        <w:rPr>
          <w:sz w:val="24"/>
          <w:szCs w:val="24"/>
        </w:rPr>
        <w:t xml:space="preserve">,  а также передвижной экологической лабораторией (ПЭЛ).   </w:t>
      </w:r>
    </w:p>
    <w:p w:rsidR="008F7D51" w:rsidRPr="007F6AF5" w:rsidRDefault="008F7D51" w:rsidP="008F7D51">
      <w:pPr>
        <w:ind w:firstLine="708"/>
        <w:jc w:val="both"/>
        <w:rPr>
          <w:sz w:val="24"/>
          <w:szCs w:val="24"/>
        </w:rPr>
      </w:pPr>
      <w:r w:rsidRPr="007F6AF5">
        <w:rPr>
          <w:sz w:val="24"/>
          <w:szCs w:val="24"/>
        </w:rPr>
        <w:t>В декабре 2012 года на ПКЗ отобрано и обработано 33297 проб атмосферного воздуха, концентрации загрязняющих веществ в которых представлены в таблице № 1.</w:t>
      </w:r>
    </w:p>
    <w:p w:rsidR="008F7D51" w:rsidRPr="007F6AF5" w:rsidRDefault="008F7D51" w:rsidP="008F7D51">
      <w:pPr>
        <w:rPr>
          <w:sz w:val="24"/>
          <w:szCs w:val="24"/>
        </w:rPr>
      </w:pPr>
      <w:r w:rsidRPr="007F6AF5">
        <w:rPr>
          <w:sz w:val="24"/>
          <w:szCs w:val="24"/>
        </w:rPr>
        <w:t xml:space="preserve"> </w:t>
      </w:r>
    </w:p>
    <w:p w:rsidR="008F7D51" w:rsidRPr="007F6AF5" w:rsidRDefault="008F7D51" w:rsidP="008F7D51">
      <w:pPr>
        <w:shd w:val="clear" w:color="auto" w:fill="FFFFFF"/>
        <w:jc w:val="right"/>
      </w:pPr>
      <w:r w:rsidRPr="007F6AF5">
        <w:t xml:space="preserve">Таблица № 1. </w:t>
      </w:r>
    </w:p>
    <w:p w:rsidR="008F7D51" w:rsidRPr="007F6AF5" w:rsidRDefault="008F7D51" w:rsidP="008F7D51">
      <w:pPr>
        <w:shd w:val="clear" w:color="auto" w:fill="FFFFFF"/>
        <w:jc w:val="center"/>
        <w:rPr>
          <w:b/>
          <w:sz w:val="24"/>
          <w:szCs w:val="24"/>
        </w:rPr>
      </w:pPr>
      <w:r w:rsidRPr="007F6AF5">
        <w:rPr>
          <w:b/>
          <w:sz w:val="24"/>
          <w:szCs w:val="24"/>
        </w:rPr>
        <w:t>Средние концентрации  загрязняющих веществ согласно данным ПКЗ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8"/>
        <w:gridCol w:w="984"/>
        <w:gridCol w:w="1013"/>
        <w:gridCol w:w="1013"/>
        <w:gridCol w:w="985"/>
        <w:gridCol w:w="985"/>
        <w:gridCol w:w="1029"/>
        <w:gridCol w:w="985"/>
        <w:gridCol w:w="1029"/>
        <w:gridCol w:w="1029"/>
        <w:gridCol w:w="985"/>
        <w:gridCol w:w="1093"/>
      </w:tblGrid>
      <w:tr w:rsidR="008F7D51" w:rsidRPr="007F6AF5" w:rsidTr="008F7D51">
        <w:trPr>
          <w:jc w:val="center"/>
        </w:trPr>
        <w:tc>
          <w:tcPr>
            <w:tcW w:w="999"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Вещество</w:t>
            </w:r>
          </w:p>
        </w:tc>
        <w:tc>
          <w:tcPr>
            <w:tcW w:w="35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С</w:t>
            </w:r>
            <w:proofErr w:type="gramStart"/>
            <w:r w:rsidRPr="007F6AF5">
              <w:rPr>
                <w:b/>
                <w:sz w:val="24"/>
                <w:szCs w:val="24"/>
              </w:rPr>
              <w:t>H</w:t>
            </w:r>
            <w:proofErr w:type="gramEnd"/>
          </w:p>
        </w:tc>
        <w:tc>
          <w:tcPr>
            <w:tcW w:w="36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CH4</w:t>
            </w:r>
          </w:p>
        </w:tc>
        <w:tc>
          <w:tcPr>
            <w:tcW w:w="36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proofErr w:type="spellStart"/>
            <w:r w:rsidRPr="007F6AF5">
              <w:rPr>
                <w:b/>
                <w:sz w:val="24"/>
                <w:szCs w:val="24"/>
              </w:rPr>
              <w:t>CHx</w:t>
            </w:r>
            <w:proofErr w:type="spellEnd"/>
          </w:p>
        </w:tc>
        <w:tc>
          <w:tcPr>
            <w:tcW w:w="35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CO</w:t>
            </w:r>
          </w:p>
        </w:tc>
        <w:tc>
          <w:tcPr>
            <w:tcW w:w="35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H2S</w:t>
            </w:r>
          </w:p>
        </w:tc>
        <w:tc>
          <w:tcPr>
            <w:tcW w:w="370"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NH3</w:t>
            </w:r>
          </w:p>
        </w:tc>
        <w:tc>
          <w:tcPr>
            <w:tcW w:w="35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NO</w:t>
            </w:r>
          </w:p>
        </w:tc>
        <w:tc>
          <w:tcPr>
            <w:tcW w:w="370"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NO2</w:t>
            </w:r>
          </w:p>
        </w:tc>
        <w:tc>
          <w:tcPr>
            <w:tcW w:w="370"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proofErr w:type="spellStart"/>
            <w:r w:rsidRPr="007F6AF5">
              <w:rPr>
                <w:b/>
                <w:sz w:val="24"/>
                <w:szCs w:val="24"/>
              </w:rPr>
              <w:t>NOx</w:t>
            </w:r>
            <w:proofErr w:type="spellEnd"/>
          </w:p>
        </w:tc>
        <w:tc>
          <w:tcPr>
            <w:tcW w:w="35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SO2</w:t>
            </w:r>
          </w:p>
        </w:tc>
        <w:tc>
          <w:tcPr>
            <w:tcW w:w="393"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b/>
                <w:sz w:val="24"/>
                <w:szCs w:val="24"/>
              </w:rPr>
            </w:pPr>
            <w:r w:rsidRPr="007F6AF5">
              <w:rPr>
                <w:b/>
                <w:sz w:val="24"/>
                <w:szCs w:val="24"/>
              </w:rPr>
              <w:t>пыль</w:t>
            </w:r>
          </w:p>
        </w:tc>
      </w:tr>
      <w:tr w:rsidR="008F7D51" w:rsidRPr="007F6AF5" w:rsidTr="008F7D51">
        <w:trPr>
          <w:jc w:val="center"/>
        </w:trPr>
        <w:tc>
          <w:tcPr>
            <w:tcW w:w="999"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Средняя концентрация, мг/м3</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0,316</w:t>
            </w:r>
          </w:p>
        </w:tc>
        <w:tc>
          <w:tcPr>
            <w:tcW w:w="36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1,437</w:t>
            </w:r>
          </w:p>
        </w:tc>
        <w:tc>
          <w:tcPr>
            <w:tcW w:w="36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1,666</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rPr>
                <w:sz w:val="24"/>
                <w:szCs w:val="24"/>
              </w:rPr>
            </w:pPr>
            <w:r w:rsidRPr="007F6AF5">
              <w:rPr>
                <w:sz w:val="24"/>
                <w:szCs w:val="24"/>
              </w:rPr>
              <w:t>1,214</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0,005</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0,003</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0,020</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0,026</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0,058</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0,002</w:t>
            </w:r>
          </w:p>
        </w:tc>
        <w:tc>
          <w:tcPr>
            <w:tcW w:w="393"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0,016</w:t>
            </w:r>
          </w:p>
        </w:tc>
      </w:tr>
      <w:tr w:rsidR="008F7D51" w:rsidRPr="007F6AF5" w:rsidTr="008F7D51">
        <w:trPr>
          <w:jc w:val="center"/>
        </w:trPr>
        <w:tc>
          <w:tcPr>
            <w:tcW w:w="999"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ПДК, ОБУВ</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6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50,0</w:t>
            </w:r>
          </w:p>
        </w:tc>
        <w:tc>
          <w:tcPr>
            <w:tcW w:w="36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5,0</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0,04</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0,06</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0,04</w:t>
            </w:r>
          </w:p>
        </w:tc>
        <w:tc>
          <w:tcPr>
            <w:tcW w:w="370"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54"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0,05</w:t>
            </w:r>
          </w:p>
        </w:tc>
        <w:tc>
          <w:tcPr>
            <w:tcW w:w="393" w:type="pct"/>
            <w:shd w:val="clear" w:color="auto" w:fill="FFFFFF"/>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0,15</w:t>
            </w:r>
          </w:p>
        </w:tc>
      </w:tr>
    </w:tbl>
    <w:p w:rsidR="008F7D51" w:rsidRPr="007F6AF5" w:rsidRDefault="008F7D51" w:rsidP="008F7D51">
      <w:pPr>
        <w:tabs>
          <w:tab w:val="left" w:pos="0"/>
        </w:tabs>
        <w:spacing w:line="360" w:lineRule="auto"/>
        <w:ind w:right="-143" w:firstLine="567"/>
        <w:jc w:val="both"/>
        <w:rPr>
          <w:sz w:val="24"/>
          <w:szCs w:val="24"/>
        </w:rPr>
      </w:pPr>
    </w:p>
    <w:p w:rsidR="009D7EF4" w:rsidRPr="007F6AF5" w:rsidRDefault="009D7EF4" w:rsidP="009D7EF4">
      <w:pPr>
        <w:tabs>
          <w:tab w:val="left" w:pos="0"/>
        </w:tabs>
        <w:spacing w:line="360" w:lineRule="auto"/>
        <w:ind w:right="-143" w:firstLine="567"/>
        <w:jc w:val="center"/>
        <w:rPr>
          <w:sz w:val="24"/>
          <w:szCs w:val="24"/>
        </w:rPr>
      </w:pPr>
      <w:r w:rsidRPr="007F6AF5">
        <w:rPr>
          <w:noProof/>
          <w:sz w:val="24"/>
          <w:szCs w:val="24"/>
        </w:rPr>
        <w:lastRenderedPageBreak/>
        <w:drawing>
          <wp:inline distT="0" distB="0" distL="0" distR="0" wp14:anchorId="056388DA" wp14:editId="5685D056">
            <wp:extent cx="4591318" cy="231175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1050" cy="2311622"/>
                    </a:xfrm>
                    <a:prstGeom prst="rect">
                      <a:avLst/>
                    </a:prstGeom>
                  </pic:spPr>
                </pic:pic>
              </a:graphicData>
            </a:graphic>
          </wp:inline>
        </w:drawing>
      </w:r>
    </w:p>
    <w:p w:rsidR="009D7EF4" w:rsidRPr="007F6AF5" w:rsidRDefault="009D7EF4" w:rsidP="009D7EF4">
      <w:pPr>
        <w:tabs>
          <w:tab w:val="left" w:pos="0"/>
        </w:tabs>
        <w:spacing w:line="360" w:lineRule="auto"/>
        <w:ind w:right="-143" w:firstLine="567"/>
        <w:jc w:val="center"/>
        <w:rPr>
          <w:sz w:val="24"/>
          <w:szCs w:val="24"/>
        </w:rPr>
      </w:pPr>
    </w:p>
    <w:p w:rsidR="008F7D51" w:rsidRPr="007F6AF5" w:rsidRDefault="008F7D51" w:rsidP="008F7D51">
      <w:pPr>
        <w:ind w:firstLine="708"/>
        <w:jc w:val="both"/>
        <w:rPr>
          <w:sz w:val="24"/>
          <w:szCs w:val="24"/>
        </w:rPr>
      </w:pPr>
      <w:r w:rsidRPr="007F6AF5">
        <w:rPr>
          <w:sz w:val="24"/>
          <w:szCs w:val="24"/>
        </w:rPr>
        <w:t>Проведенный анализ данных с ПКЗ показал, что:</w:t>
      </w:r>
    </w:p>
    <w:p w:rsidR="008F7D51" w:rsidRPr="007F6AF5" w:rsidRDefault="008F7D51" w:rsidP="008F7D51">
      <w:pPr>
        <w:jc w:val="both"/>
        <w:rPr>
          <w:sz w:val="24"/>
          <w:szCs w:val="24"/>
        </w:rPr>
      </w:pPr>
      <w:r w:rsidRPr="007F6AF5">
        <w:rPr>
          <w:sz w:val="24"/>
          <w:szCs w:val="24"/>
        </w:rPr>
        <w:t xml:space="preserve">- средняя концентрация загрязняющих веществ в пробах превышала </w:t>
      </w:r>
      <w:proofErr w:type="spellStart"/>
      <w:r w:rsidRPr="007F6AF5">
        <w:rPr>
          <w:sz w:val="24"/>
          <w:szCs w:val="24"/>
        </w:rPr>
        <w:t>ПДКс.</w:t>
      </w:r>
      <w:proofErr w:type="gramStart"/>
      <w:r w:rsidRPr="007F6AF5">
        <w:rPr>
          <w:sz w:val="24"/>
          <w:szCs w:val="24"/>
        </w:rPr>
        <w:t>с</w:t>
      </w:r>
      <w:proofErr w:type="spellEnd"/>
      <w:proofErr w:type="gramEnd"/>
      <w:r w:rsidRPr="007F6AF5">
        <w:rPr>
          <w:sz w:val="24"/>
          <w:szCs w:val="24"/>
        </w:rPr>
        <w:t>. (среднесуточная предельно допустимая концентрация) в 0,16 раз;</w:t>
      </w:r>
    </w:p>
    <w:p w:rsidR="008F7D51" w:rsidRPr="007F6AF5" w:rsidRDefault="008F7D51" w:rsidP="008F7D51">
      <w:pPr>
        <w:jc w:val="both"/>
        <w:rPr>
          <w:sz w:val="24"/>
          <w:szCs w:val="24"/>
        </w:rPr>
      </w:pPr>
      <w:r w:rsidRPr="007F6AF5">
        <w:rPr>
          <w:sz w:val="24"/>
          <w:szCs w:val="24"/>
        </w:rPr>
        <w:t xml:space="preserve">-  количество  анализов, превышающих </w:t>
      </w:r>
      <w:proofErr w:type="spellStart"/>
      <w:r w:rsidRPr="007F6AF5">
        <w:rPr>
          <w:sz w:val="24"/>
          <w:szCs w:val="24"/>
        </w:rPr>
        <w:t>ПДКм.р</w:t>
      </w:r>
      <w:proofErr w:type="spellEnd"/>
      <w:r w:rsidRPr="007F6AF5">
        <w:rPr>
          <w:sz w:val="24"/>
          <w:szCs w:val="24"/>
        </w:rPr>
        <w:t>. (максимально разовая предельно допустимая концентрация) составляет 0,3 % от общего числа анализов;</w:t>
      </w:r>
    </w:p>
    <w:p w:rsidR="008F7D51" w:rsidRPr="007F6AF5" w:rsidRDefault="008F7D51" w:rsidP="008F7D51">
      <w:pPr>
        <w:jc w:val="both"/>
        <w:rPr>
          <w:sz w:val="24"/>
          <w:szCs w:val="24"/>
        </w:rPr>
      </w:pPr>
      <w:r w:rsidRPr="007F6AF5">
        <w:rPr>
          <w:sz w:val="24"/>
          <w:szCs w:val="24"/>
        </w:rPr>
        <w:t xml:space="preserve">- при ИЗА (индексе загрязнения атмосферы) по 7 основным загрязняющим веществам </w:t>
      </w:r>
      <w:proofErr w:type="gramStart"/>
      <w:r w:rsidRPr="007F6AF5">
        <w:rPr>
          <w:sz w:val="24"/>
          <w:szCs w:val="24"/>
        </w:rPr>
        <w:t>равному</w:t>
      </w:r>
      <w:proofErr w:type="gramEnd"/>
      <w:r w:rsidRPr="007F6AF5">
        <w:rPr>
          <w:sz w:val="24"/>
          <w:szCs w:val="24"/>
        </w:rPr>
        <w:t xml:space="preserve"> 2,12, уровень загрязнения атмосферного воздуха в районах размещения ПКЗ является низким.</w:t>
      </w:r>
    </w:p>
    <w:p w:rsidR="008F7D51" w:rsidRPr="007F6AF5" w:rsidRDefault="008F7D51" w:rsidP="008F7D51">
      <w:pPr>
        <w:ind w:firstLine="708"/>
        <w:jc w:val="both"/>
        <w:rPr>
          <w:sz w:val="24"/>
          <w:szCs w:val="24"/>
        </w:rPr>
      </w:pPr>
      <w:r w:rsidRPr="007F6AF5">
        <w:rPr>
          <w:sz w:val="24"/>
          <w:szCs w:val="24"/>
        </w:rPr>
        <w:t>За текущий период с помощью передвижной экологической лаборатории (ПЭЛ) проведено обследование состояния атмосферного воздуха на 14 участках, выбранных согласно утвержденному маршруту отбора проб, основанного на ранее полученных данных об интенсивности транспортных потоков на основных магистралях муниципального образования город Краснодар, а также информации, поступающей от ЕДДС и обращения граждан.</w:t>
      </w:r>
    </w:p>
    <w:p w:rsidR="008F7D51" w:rsidRPr="007F6AF5" w:rsidRDefault="008F7D51" w:rsidP="008F7D51">
      <w:pPr>
        <w:ind w:firstLine="708"/>
        <w:jc w:val="both"/>
        <w:rPr>
          <w:sz w:val="24"/>
          <w:szCs w:val="24"/>
        </w:rPr>
      </w:pPr>
    </w:p>
    <w:p w:rsidR="008F7D51" w:rsidRPr="007F6AF5" w:rsidRDefault="008F7D51" w:rsidP="008F7D51">
      <w:pPr>
        <w:jc w:val="right"/>
      </w:pPr>
      <w:r w:rsidRPr="007F6AF5">
        <w:t xml:space="preserve">Таблица № 2. </w:t>
      </w:r>
    </w:p>
    <w:p w:rsidR="008F7D51" w:rsidRPr="007F6AF5" w:rsidRDefault="008F7D51" w:rsidP="008F7D51">
      <w:pPr>
        <w:jc w:val="center"/>
        <w:rPr>
          <w:b/>
          <w:sz w:val="24"/>
          <w:szCs w:val="24"/>
        </w:rPr>
      </w:pPr>
      <w:r w:rsidRPr="007F6AF5">
        <w:rPr>
          <w:b/>
          <w:sz w:val="24"/>
          <w:szCs w:val="24"/>
        </w:rPr>
        <w:t>Средние концентрации  загрязняющих веществ согласно данным ПЭЛ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0" w:type="dxa"/>
          <w:right w:w="0" w:type="dxa"/>
        </w:tblCellMar>
        <w:tblLook w:val="04A0" w:firstRow="1" w:lastRow="0" w:firstColumn="1" w:lastColumn="0" w:noHBand="0" w:noVBand="1"/>
      </w:tblPr>
      <w:tblGrid>
        <w:gridCol w:w="3011"/>
        <w:gridCol w:w="840"/>
        <w:gridCol w:w="1003"/>
        <w:gridCol w:w="1003"/>
        <w:gridCol w:w="976"/>
        <w:gridCol w:w="976"/>
        <w:gridCol w:w="1020"/>
        <w:gridCol w:w="976"/>
        <w:gridCol w:w="1020"/>
        <w:gridCol w:w="1020"/>
        <w:gridCol w:w="976"/>
        <w:gridCol w:w="1087"/>
      </w:tblGrid>
      <w:tr w:rsidR="009D7EF4" w:rsidRPr="007F6AF5" w:rsidTr="009D7EF4">
        <w:tc>
          <w:tcPr>
            <w:tcW w:w="109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Вещество</w:t>
            </w:r>
          </w:p>
        </w:tc>
        <w:tc>
          <w:tcPr>
            <w:tcW w:w="176"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С</w:t>
            </w:r>
            <w:proofErr w:type="gramStart"/>
            <w:r w:rsidRPr="007F6AF5">
              <w:rPr>
                <w:b/>
                <w:sz w:val="24"/>
                <w:szCs w:val="24"/>
              </w:rPr>
              <w:t>H</w:t>
            </w:r>
            <w:proofErr w:type="gramEnd"/>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CH4</w:t>
            </w:r>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proofErr w:type="spellStart"/>
            <w:r w:rsidRPr="007F6AF5">
              <w:rPr>
                <w:b/>
                <w:sz w:val="24"/>
                <w:szCs w:val="24"/>
              </w:rPr>
              <w:t>CHx</w:t>
            </w:r>
            <w:proofErr w:type="spellEnd"/>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CO</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H2S</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NH3</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NO</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NO2</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proofErr w:type="spellStart"/>
            <w:r w:rsidRPr="007F6AF5">
              <w:rPr>
                <w:b/>
                <w:sz w:val="24"/>
                <w:szCs w:val="24"/>
              </w:rPr>
              <w:t>NOx</w:t>
            </w:r>
            <w:proofErr w:type="spellEnd"/>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SO2</w:t>
            </w:r>
          </w:p>
        </w:tc>
        <w:tc>
          <w:tcPr>
            <w:tcW w:w="40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themeFill="background1"/>
              <w:jc w:val="center"/>
              <w:rPr>
                <w:b/>
                <w:sz w:val="24"/>
                <w:szCs w:val="24"/>
              </w:rPr>
            </w:pPr>
            <w:r w:rsidRPr="007F6AF5">
              <w:rPr>
                <w:b/>
                <w:sz w:val="24"/>
                <w:szCs w:val="24"/>
              </w:rPr>
              <w:t>пыль</w:t>
            </w:r>
          </w:p>
        </w:tc>
      </w:tr>
      <w:tr w:rsidR="009D7EF4" w:rsidRPr="007F6AF5" w:rsidTr="009D7EF4">
        <w:tc>
          <w:tcPr>
            <w:tcW w:w="109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Средняя концентрация, мг/м3</w:t>
            </w:r>
          </w:p>
        </w:tc>
        <w:tc>
          <w:tcPr>
            <w:tcW w:w="176"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jc w:val="center"/>
              <w:rPr>
                <w:sz w:val="24"/>
                <w:szCs w:val="24"/>
              </w:rPr>
            </w:pPr>
            <w:r w:rsidRPr="007F6AF5">
              <w:rPr>
                <w:sz w:val="24"/>
                <w:szCs w:val="24"/>
              </w:rPr>
              <w:t>1,340</w:t>
            </w:r>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jc w:val="center"/>
              <w:rPr>
                <w:sz w:val="24"/>
                <w:szCs w:val="24"/>
              </w:rPr>
            </w:pPr>
            <w:r w:rsidRPr="007F6AF5">
              <w:rPr>
                <w:sz w:val="24"/>
                <w:szCs w:val="24"/>
              </w:rPr>
              <w:t>0,944</w:t>
            </w:r>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0,401</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0,913</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0,002</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0,002</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0,029</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0,036</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0,067</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0,001</w:t>
            </w:r>
          </w:p>
        </w:tc>
        <w:tc>
          <w:tcPr>
            <w:tcW w:w="40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shd w:val="clear" w:color="auto" w:fill="FFFFFF"/>
              <w:jc w:val="center"/>
              <w:rPr>
                <w:sz w:val="24"/>
                <w:szCs w:val="24"/>
              </w:rPr>
            </w:pPr>
            <w:r w:rsidRPr="007F6AF5">
              <w:rPr>
                <w:sz w:val="24"/>
                <w:szCs w:val="24"/>
              </w:rPr>
              <w:t>0,084</w:t>
            </w:r>
          </w:p>
        </w:tc>
      </w:tr>
      <w:tr w:rsidR="008F7D51" w:rsidRPr="007F6AF5" w:rsidTr="009D7EF4">
        <w:tc>
          <w:tcPr>
            <w:tcW w:w="1094"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proofErr w:type="spellStart"/>
            <w:r w:rsidRPr="007F6AF5">
              <w:rPr>
                <w:sz w:val="24"/>
                <w:szCs w:val="24"/>
              </w:rPr>
              <w:t>ПДКм.р</w:t>
            </w:r>
            <w:proofErr w:type="spellEnd"/>
            <w:r w:rsidRPr="007F6AF5">
              <w:rPr>
                <w:sz w:val="24"/>
                <w:szCs w:val="24"/>
              </w:rPr>
              <w:t>., ОБУВ</w:t>
            </w:r>
          </w:p>
        </w:tc>
        <w:tc>
          <w:tcPr>
            <w:tcW w:w="176"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50,0</w:t>
            </w:r>
          </w:p>
        </w:tc>
        <w:tc>
          <w:tcPr>
            <w:tcW w:w="37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5,0</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0,008</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0,2</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0,4</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0,2</w:t>
            </w:r>
          </w:p>
        </w:tc>
        <w:tc>
          <w:tcPr>
            <w:tcW w:w="378"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w:t>
            </w:r>
          </w:p>
        </w:tc>
        <w:tc>
          <w:tcPr>
            <w:tcW w:w="36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0,5</w:t>
            </w:r>
          </w:p>
        </w:tc>
        <w:tc>
          <w:tcPr>
            <w:tcW w:w="402" w:type="pct"/>
            <w:shd w:val="clear" w:color="auto" w:fill="FFFFFF" w:themeFill="background1"/>
            <w:tcMar>
              <w:top w:w="75" w:type="dxa"/>
              <w:left w:w="150" w:type="dxa"/>
              <w:bottom w:w="75" w:type="dxa"/>
              <w:right w:w="150" w:type="dxa"/>
            </w:tcMar>
            <w:vAlign w:val="center"/>
            <w:hideMark/>
          </w:tcPr>
          <w:p w:rsidR="008F7D51" w:rsidRPr="007F6AF5" w:rsidRDefault="008F7D51" w:rsidP="008F7D51">
            <w:pPr>
              <w:jc w:val="center"/>
              <w:rPr>
                <w:sz w:val="24"/>
                <w:szCs w:val="24"/>
              </w:rPr>
            </w:pPr>
            <w:r w:rsidRPr="007F6AF5">
              <w:rPr>
                <w:sz w:val="24"/>
                <w:szCs w:val="24"/>
              </w:rPr>
              <w:t>0,5</w:t>
            </w:r>
          </w:p>
        </w:tc>
      </w:tr>
    </w:tbl>
    <w:p w:rsidR="008F7D51" w:rsidRPr="007F6AF5" w:rsidRDefault="008F7D51" w:rsidP="008F7D51">
      <w:pPr>
        <w:shd w:val="clear" w:color="auto" w:fill="FFFFFF"/>
        <w:rPr>
          <w:sz w:val="24"/>
          <w:szCs w:val="24"/>
        </w:rPr>
      </w:pPr>
    </w:p>
    <w:p w:rsidR="009D7EF4" w:rsidRPr="007F6AF5" w:rsidRDefault="009D7EF4" w:rsidP="008F7D51">
      <w:pPr>
        <w:shd w:val="clear" w:color="auto" w:fill="FFFFFF"/>
        <w:rPr>
          <w:sz w:val="24"/>
          <w:szCs w:val="24"/>
        </w:rPr>
      </w:pPr>
    </w:p>
    <w:p w:rsidR="004C6D01" w:rsidRPr="007F6AF5" w:rsidRDefault="004C6D01" w:rsidP="004C6D01">
      <w:pPr>
        <w:shd w:val="clear" w:color="auto" w:fill="FFFFFF"/>
        <w:jc w:val="center"/>
        <w:rPr>
          <w:sz w:val="24"/>
          <w:szCs w:val="24"/>
        </w:rPr>
      </w:pPr>
      <w:r w:rsidRPr="007F6AF5">
        <w:rPr>
          <w:noProof/>
          <w:sz w:val="24"/>
          <w:szCs w:val="24"/>
        </w:rPr>
        <w:lastRenderedPageBreak/>
        <w:drawing>
          <wp:inline distT="0" distB="0" distL="0" distR="0" wp14:anchorId="66965579" wp14:editId="3059E1D1">
            <wp:extent cx="4604196" cy="2723881"/>
            <wp:effectExtent l="0" t="0" r="635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00575" cy="2721739"/>
                    </a:xfrm>
                    <a:prstGeom prst="rect">
                      <a:avLst/>
                    </a:prstGeom>
                  </pic:spPr>
                </pic:pic>
              </a:graphicData>
            </a:graphic>
          </wp:inline>
        </w:drawing>
      </w:r>
    </w:p>
    <w:p w:rsidR="004C6D01" w:rsidRPr="007F6AF5" w:rsidRDefault="004C6D01" w:rsidP="008F7D51">
      <w:pPr>
        <w:shd w:val="clear" w:color="auto" w:fill="FFFFFF"/>
        <w:rPr>
          <w:sz w:val="24"/>
          <w:szCs w:val="24"/>
        </w:rPr>
      </w:pPr>
    </w:p>
    <w:p w:rsidR="004C6D01" w:rsidRPr="007F6AF5" w:rsidRDefault="004C6D01" w:rsidP="008F7D51">
      <w:pPr>
        <w:shd w:val="clear" w:color="auto" w:fill="FFFFFF"/>
        <w:rPr>
          <w:sz w:val="24"/>
          <w:szCs w:val="24"/>
        </w:rPr>
      </w:pPr>
    </w:p>
    <w:p w:rsidR="008F7D51" w:rsidRDefault="008F7D51" w:rsidP="009D7EF4">
      <w:pPr>
        <w:shd w:val="clear" w:color="auto" w:fill="FFFFFF" w:themeFill="background1"/>
        <w:ind w:firstLine="708"/>
        <w:rPr>
          <w:sz w:val="24"/>
          <w:szCs w:val="24"/>
        </w:rPr>
      </w:pPr>
      <w:r w:rsidRPr="007F6AF5">
        <w:rPr>
          <w:sz w:val="24"/>
          <w:szCs w:val="24"/>
        </w:rPr>
        <w:t>Средний показатель ИЗА для замеров, проведенных ПЭЛ, составил 3,14, что соответствует низкому уровню загрязнения атмосферы в местах проведения замеров.</w:t>
      </w:r>
    </w:p>
    <w:p w:rsidR="005A0195" w:rsidRDefault="005A0195" w:rsidP="009D7EF4">
      <w:pPr>
        <w:shd w:val="clear" w:color="auto" w:fill="FFFFFF" w:themeFill="background1"/>
        <w:ind w:firstLine="708"/>
        <w:rPr>
          <w:sz w:val="24"/>
          <w:szCs w:val="24"/>
        </w:rPr>
      </w:pPr>
    </w:p>
    <w:p w:rsidR="005A0195" w:rsidRPr="007F6AF5" w:rsidRDefault="005A0195" w:rsidP="009D7EF4">
      <w:pPr>
        <w:shd w:val="clear" w:color="auto" w:fill="FFFFFF" w:themeFill="background1"/>
        <w:ind w:firstLine="708"/>
        <w:rPr>
          <w:sz w:val="24"/>
          <w:szCs w:val="24"/>
        </w:rPr>
      </w:pPr>
    </w:p>
    <w:p w:rsidR="005A0195" w:rsidRPr="007F6AF5" w:rsidRDefault="005A0195" w:rsidP="005A0195">
      <w:pPr>
        <w:spacing w:line="360" w:lineRule="auto"/>
        <w:jc w:val="center"/>
        <w:rPr>
          <w:b/>
          <w:sz w:val="24"/>
          <w:szCs w:val="24"/>
        </w:rPr>
      </w:pPr>
      <w:r>
        <w:rPr>
          <w:b/>
          <w:sz w:val="24"/>
          <w:szCs w:val="24"/>
        </w:rPr>
        <w:t>Новости законодательства</w:t>
      </w:r>
    </w:p>
    <w:p w:rsidR="009B16F5" w:rsidRPr="005A0195" w:rsidRDefault="009B16F5" w:rsidP="009B16F5">
      <w:pPr>
        <w:widowControl w:val="0"/>
        <w:rPr>
          <w:b/>
          <w:sz w:val="24"/>
          <w:szCs w:val="24"/>
        </w:rPr>
      </w:pPr>
      <w:r w:rsidRPr="005A0195">
        <w:rPr>
          <w:b/>
          <w:i/>
          <w:iCs/>
          <w:sz w:val="24"/>
          <w:szCs w:val="24"/>
        </w:rPr>
        <w:t>Распоряжение Правительства РФ от 18.12.2012 N 2423-р</w:t>
      </w:r>
      <w:proofErr w:type="gramStart"/>
      <w:r w:rsidRPr="005A0195">
        <w:rPr>
          <w:b/>
          <w:i/>
          <w:iCs/>
          <w:sz w:val="24"/>
          <w:szCs w:val="24"/>
        </w:rPr>
        <w:t xml:space="preserve"> &lt;О</w:t>
      </w:r>
      <w:proofErr w:type="gramEnd"/>
      <w:r w:rsidRPr="005A0195">
        <w:rPr>
          <w:b/>
          <w:i/>
          <w:iCs/>
          <w:sz w:val="24"/>
          <w:szCs w:val="24"/>
        </w:rPr>
        <w:t xml:space="preserve">б утверждении Плана действий по реализации Основ государственной политики в области экологического развития Российской Федерации на период до 2030 года&gt; </w:t>
      </w:r>
      <w:r w:rsidRPr="005A0195">
        <w:rPr>
          <w:b/>
          <w:sz w:val="24"/>
          <w:szCs w:val="24"/>
        </w:rPr>
        <w:br/>
      </w:r>
    </w:p>
    <w:p w:rsidR="008F7D51" w:rsidRPr="007F6AF5" w:rsidRDefault="008F7D51" w:rsidP="008F7D51">
      <w:pPr>
        <w:rPr>
          <w:sz w:val="24"/>
          <w:szCs w:val="24"/>
        </w:rPr>
      </w:pPr>
    </w:p>
    <w:p w:rsidR="008F7D51" w:rsidRPr="007F6AF5" w:rsidRDefault="008F7D51" w:rsidP="008F7D51">
      <w:pPr>
        <w:rPr>
          <w:sz w:val="24"/>
          <w:szCs w:val="24"/>
        </w:rPr>
      </w:pPr>
    </w:p>
    <w:p w:rsidR="007F6AF5" w:rsidRPr="00E623F4" w:rsidRDefault="007F6AF5" w:rsidP="007F6AF5">
      <w:pPr>
        <w:shd w:val="clear" w:color="auto" w:fill="FFFFFF"/>
        <w:ind w:firstLine="567"/>
        <w:rPr>
          <w:b/>
          <w:sz w:val="24"/>
          <w:szCs w:val="24"/>
        </w:rPr>
      </w:pPr>
      <w:r w:rsidRPr="00E623F4">
        <w:rPr>
          <w:sz w:val="24"/>
          <w:szCs w:val="24"/>
        </w:rPr>
        <w:t>Начальник отдела мониторинга ГБУ КК «КИАЦЭМ»</w:t>
      </w:r>
      <w:r w:rsidRPr="00E623F4">
        <w:rPr>
          <w:sz w:val="24"/>
          <w:szCs w:val="24"/>
        </w:rPr>
        <w:tab/>
      </w:r>
      <w:r w:rsidRPr="00E623F4">
        <w:rPr>
          <w:sz w:val="24"/>
          <w:szCs w:val="24"/>
        </w:rPr>
        <w:tab/>
      </w:r>
      <w:r w:rsidRPr="00E623F4">
        <w:rPr>
          <w:sz w:val="24"/>
          <w:szCs w:val="24"/>
        </w:rPr>
        <w:tab/>
      </w:r>
      <w:r w:rsidRPr="00E623F4">
        <w:rPr>
          <w:sz w:val="24"/>
          <w:szCs w:val="24"/>
        </w:rPr>
        <w:tab/>
        <w:t xml:space="preserve">   </w:t>
      </w:r>
      <w:r w:rsidRPr="00E623F4">
        <w:rPr>
          <w:sz w:val="24"/>
          <w:szCs w:val="24"/>
        </w:rPr>
        <w:tab/>
      </w:r>
      <w:r w:rsidRPr="00E623F4">
        <w:rPr>
          <w:sz w:val="24"/>
          <w:szCs w:val="24"/>
        </w:rPr>
        <w:tab/>
        <w:t xml:space="preserve">         </w:t>
      </w:r>
      <w:r w:rsidRPr="00E623F4">
        <w:rPr>
          <w:sz w:val="24"/>
          <w:szCs w:val="24"/>
        </w:rPr>
        <w:tab/>
      </w:r>
      <w:r w:rsidRPr="00E623F4">
        <w:rPr>
          <w:sz w:val="24"/>
          <w:szCs w:val="24"/>
        </w:rPr>
        <w:tab/>
        <w:t xml:space="preserve">  С.В.Дулепа</w:t>
      </w:r>
      <w:bookmarkStart w:id="0" w:name="_GoBack"/>
      <w:bookmarkEnd w:id="0"/>
    </w:p>
    <w:sectPr w:rsidR="007F6AF5" w:rsidRPr="00E623F4"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F5" w:rsidRDefault="009B16F5" w:rsidP="004023EE">
      <w:r>
        <w:separator/>
      </w:r>
    </w:p>
  </w:endnote>
  <w:endnote w:type="continuationSeparator" w:id="0">
    <w:p w:rsidR="009B16F5" w:rsidRDefault="009B16F5"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F5" w:rsidRDefault="009B16F5" w:rsidP="004023EE">
      <w:r>
        <w:separator/>
      </w:r>
    </w:p>
  </w:footnote>
  <w:footnote w:type="continuationSeparator" w:id="0">
    <w:p w:rsidR="009B16F5" w:rsidRDefault="009B16F5"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4">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C7C"/>
    <w:rsid w:val="00075650"/>
    <w:rsid w:val="000764DF"/>
    <w:rsid w:val="00080F34"/>
    <w:rsid w:val="000815B9"/>
    <w:rsid w:val="0008203C"/>
    <w:rsid w:val="0008314A"/>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2F51"/>
    <w:rsid w:val="000F64E6"/>
    <w:rsid w:val="000F7583"/>
    <w:rsid w:val="00100F81"/>
    <w:rsid w:val="0010187C"/>
    <w:rsid w:val="001022AC"/>
    <w:rsid w:val="001022D3"/>
    <w:rsid w:val="00102329"/>
    <w:rsid w:val="00104F83"/>
    <w:rsid w:val="00105963"/>
    <w:rsid w:val="00105E34"/>
    <w:rsid w:val="00106795"/>
    <w:rsid w:val="00107A67"/>
    <w:rsid w:val="001116F5"/>
    <w:rsid w:val="00113C4D"/>
    <w:rsid w:val="00116A94"/>
    <w:rsid w:val="00122C03"/>
    <w:rsid w:val="00122D8F"/>
    <w:rsid w:val="001237B9"/>
    <w:rsid w:val="00127D2C"/>
    <w:rsid w:val="00134260"/>
    <w:rsid w:val="00135AB6"/>
    <w:rsid w:val="00135AF1"/>
    <w:rsid w:val="001479A5"/>
    <w:rsid w:val="00151AD2"/>
    <w:rsid w:val="00152A49"/>
    <w:rsid w:val="00155D7F"/>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32AA"/>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5BF2"/>
    <w:rsid w:val="00277921"/>
    <w:rsid w:val="002825E2"/>
    <w:rsid w:val="002847FE"/>
    <w:rsid w:val="00284A35"/>
    <w:rsid w:val="0029186F"/>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27EF"/>
    <w:rsid w:val="002F425A"/>
    <w:rsid w:val="002F7067"/>
    <w:rsid w:val="002F73B0"/>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935"/>
    <w:rsid w:val="00332D10"/>
    <w:rsid w:val="00333329"/>
    <w:rsid w:val="00337065"/>
    <w:rsid w:val="003377FA"/>
    <w:rsid w:val="00340EC5"/>
    <w:rsid w:val="00341ED1"/>
    <w:rsid w:val="00342574"/>
    <w:rsid w:val="00344987"/>
    <w:rsid w:val="00346401"/>
    <w:rsid w:val="00347939"/>
    <w:rsid w:val="0034798E"/>
    <w:rsid w:val="00347B93"/>
    <w:rsid w:val="00354774"/>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6BEA"/>
    <w:rsid w:val="00397BEE"/>
    <w:rsid w:val="003A024D"/>
    <w:rsid w:val="003A076C"/>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5772"/>
    <w:rsid w:val="003E7B35"/>
    <w:rsid w:val="003F3E84"/>
    <w:rsid w:val="003F42FC"/>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5B6F"/>
    <w:rsid w:val="00496637"/>
    <w:rsid w:val="0049795F"/>
    <w:rsid w:val="004A043A"/>
    <w:rsid w:val="004A0E2B"/>
    <w:rsid w:val="004A21DB"/>
    <w:rsid w:val="004A238A"/>
    <w:rsid w:val="004A64D8"/>
    <w:rsid w:val="004A7174"/>
    <w:rsid w:val="004B10DE"/>
    <w:rsid w:val="004B1802"/>
    <w:rsid w:val="004B30C2"/>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5520"/>
    <w:rsid w:val="00525753"/>
    <w:rsid w:val="00525CE5"/>
    <w:rsid w:val="00527817"/>
    <w:rsid w:val="00527D9C"/>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918CD"/>
    <w:rsid w:val="00593146"/>
    <w:rsid w:val="00594222"/>
    <w:rsid w:val="00596A6B"/>
    <w:rsid w:val="00596D00"/>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5C28"/>
    <w:rsid w:val="0065073A"/>
    <w:rsid w:val="006508AC"/>
    <w:rsid w:val="00652C30"/>
    <w:rsid w:val="00652DC1"/>
    <w:rsid w:val="00652ED8"/>
    <w:rsid w:val="0065409C"/>
    <w:rsid w:val="0066007B"/>
    <w:rsid w:val="006628EB"/>
    <w:rsid w:val="00662EEE"/>
    <w:rsid w:val="00664D00"/>
    <w:rsid w:val="00666783"/>
    <w:rsid w:val="00666861"/>
    <w:rsid w:val="006750F1"/>
    <w:rsid w:val="00677A7C"/>
    <w:rsid w:val="0068262A"/>
    <w:rsid w:val="00683AE4"/>
    <w:rsid w:val="0068425D"/>
    <w:rsid w:val="00685E06"/>
    <w:rsid w:val="00686022"/>
    <w:rsid w:val="00686E4D"/>
    <w:rsid w:val="00686ED7"/>
    <w:rsid w:val="00690F59"/>
    <w:rsid w:val="00691831"/>
    <w:rsid w:val="006945EF"/>
    <w:rsid w:val="006A08FD"/>
    <w:rsid w:val="006A213B"/>
    <w:rsid w:val="006A21B1"/>
    <w:rsid w:val="006A21B6"/>
    <w:rsid w:val="006A2747"/>
    <w:rsid w:val="006A39DB"/>
    <w:rsid w:val="006A43E2"/>
    <w:rsid w:val="006A448F"/>
    <w:rsid w:val="006A4865"/>
    <w:rsid w:val="006A63BD"/>
    <w:rsid w:val="006A657A"/>
    <w:rsid w:val="006A6778"/>
    <w:rsid w:val="006A796C"/>
    <w:rsid w:val="006B0997"/>
    <w:rsid w:val="006B4378"/>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14E0"/>
    <w:rsid w:val="006E15A9"/>
    <w:rsid w:val="006E5312"/>
    <w:rsid w:val="006F0BCC"/>
    <w:rsid w:val="006F0FB4"/>
    <w:rsid w:val="006F260E"/>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708C"/>
    <w:rsid w:val="00777F7F"/>
    <w:rsid w:val="00780C46"/>
    <w:rsid w:val="007811A2"/>
    <w:rsid w:val="00782CDF"/>
    <w:rsid w:val="00785CDE"/>
    <w:rsid w:val="00787A3A"/>
    <w:rsid w:val="00793947"/>
    <w:rsid w:val="007940BD"/>
    <w:rsid w:val="007947CA"/>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5122A"/>
    <w:rsid w:val="008522BA"/>
    <w:rsid w:val="00852549"/>
    <w:rsid w:val="00855DA6"/>
    <w:rsid w:val="00862437"/>
    <w:rsid w:val="00866637"/>
    <w:rsid w:val="00866F29"/>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3419"/>
    <w:rsid w:val="0089523A"/>
    <w:rsid w:val="00895F34"/>
    <w:rsid w:val="008A4EFD"/>
    <w:rsid w:val="008A65D4"/>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7AC7"/>
    <w:rsid w:val="009407EF"/>
    <w:rsid w:val="00942339"/>
    <w:rsid w:val="00943153"/>
    <w:rsid w:val="0094360B"/>
    <w:rsid w:val="00945F55"/>
    <w:rsid w:val="00947B5A"/>
    <w:rsid w:val="0095231F"/>
    <w:rsid w:val="00952C21"/>
    <w:rsid w:val="00960EF9"/>
    <w:rsid w:val="00961E16"/>
    <w:rsid w:val="0096611E"/>
    <w:rsid w:val="009674EF"/>
    <w:rsid w:val="0097145E"/>
    <w:rsid w:val="00972893"/>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35DC"/>
    <w:rsid w:val="009F50AB"/>
    <w:rsid w:val="00A01A4E"/>
    <w:rsid w:val="00A02992"/>
    <w:rsid w:val="00A05542"/>
    <w:rsid w:val="00A0698B"/>
    <w:rsid w:val="00A071B6"/>
    <w:rsid w:val="00A10BB8"/>
    <w:rsid w:val="00A13702"/>
    <w:rsid w:val="00A200F8"/>
    <w:rsid w:val="00A20890"/>
    <w:rsid w:val="00A26AAD"/>
    <w:rsid w:val="00A30B98"/>
    <w:rsid w:val="00A35BDF"/>
    <w:rsid w:val="00A371F5"/>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51D0"/>
    <w:rsid w:val="00AB547F"/>
    <w:rsid w:val="00AB6416"/>
    <w:rsid w:val="00AB744A"/>
    <w:rsid w:val="00AB74D5"/>
    <w:rsid w:val="00AC0402"/>
    <w:rsid w:val="00AC1F3C"/>
    <w:rsid w:val="00AD08AD"/>
    <w:rsid w:val="00AD0E79"/>
    <w:rsid w:val="00AD36EE"/>
    <w:rsid w:val="00AD60C1"/>
    <w:rsid w:val="00AD6850"/>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6EC0"/>
    <w:rsid w:val="00B57EB8"/>
    <w:rsid w:val="00B61F06"/>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403F"/>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7474"/>
    <w:rsid w:val="00C17C3D"/>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73FC"/>
    <w:rsid w:val="00C612C1"/>
    <w:rsid w:val="00C61DDA"/>
    <w:rsid w:val="00C661FC"/>
    <w:rsid w:val="00C66C5D"/>
    <w:rsid w:val="00C67D23"/>
    <w:rsid w:val="00C7019A"/>
    <w:rsid w:val="00C71D98"/>
    <w:rsid w:val="00C732D8"/>
    <w:rsid w:val="00C7342B"/>
    <w:rsid w:val="00C766C9"/>
    <w:rsid w:val="00C77B66"/>
    <w:rsid w:val="00C80175"/>
    <w:rsid w:val="00C80B4A"/>
    <w:rsid w:val="00C812A4"/>
    <w:rsid w:val="00C82703"/>
    <w:rsid w:val="00C837CE"/>
    <w:rsid w:val="00C85233"/>
    <w:rsid w:val="00C85ABD"/>
    <w:rsid w:val="00C863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98A"/>
    <w:rsid w:val="00D40AF1"/>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91148"/>
    <w:rsid w:val="00D91512"/>
    <w:rsid w:val="00D9161D"/>
    <w:rsid w:val="00D91653"/>
    <w:rsid w:val="00D96A2B"/>
    <w:rsid w:val="00D96DBB"/>
    <w:rsid w:val="00DB1D1B"/>
    <w:rsid w:val="00DB2AAF"/>
    <w:rsid w:val="00DC01DD"/>
    <w:rsid w:val="00DC082E"/>
    <w:rsid w:val="00DD0E7B"/>
    <w:rsid w:val="00DD138D"/>
    <w:rsid w:val="00DD2509"/>
    <w:rsid w:val="00DD42B9"/>
    <w:rsid w:val="00DD4311"/>
    <w:rsid w:val="00DD559C"/>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662C"/>
    <w:rsid w:val="00E114C0"/>
    <w:rsid w:val="00E12520"/>
    <w:rsid w:val="00E172ED"/>
    <w:rsid w:val="00E21B9D"/>
    <w:rsid w:val="00E24476"/>
    <w:rsid w:val="00E3426F"/>
    <w:rsid w:val="00E3566A"/>
    <w:rsid w:val="00E368F9"/>
    <w:rsid w:val="00E378A8"/>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A0F9B"/>
    <w:rsid w:val="00FA20B5"/>
    <w:rsid w:val="00FA2765"/>
    <w:rsid w:val="00FA30B7"/>
    <w:rsid w:val="00FA312A"/>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E0781"/>
    <w:rsid w:val="00FE12F3"/>
    <w:rsid w:val="00FE1B98"/>
    <w:rsid w:val="00FE2428"/>
    <w:rsid w:val="00FE4C82"/>
    <w:rsid w:val="00FE53B9"/>
    <w:rsid w:val="00FE773B"/>
    <w:rsid w:val="00FF038F"/>
    <w:rsid w:val="00FF14AE"/>
    <w:rsid w:val="00FF2B11"/>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5A53-570E-46D5-8047-5EC660FD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68</TotalTime>
  <Pages>5</Pages>
  <Words>530</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2012-12-24T13:50:00Z</cp:lastPrinted>
  <dcterms:created xsi:type="dcterms:W3CDTF">2012-12-26T10:45:00Z</dcterms:created>
  <dcterms:modified xsi:type="dcterms:W3CDTF">2013-10-01T05:09:00Z</dcterms:modified>
</cp:coreProperties>
</file>