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40" w:rsidRPr="00C5411C" w:rsidRDefault="00644740" w:rsidP="007F6AF5">
      <w:pPr>
        <w:spacing w:line="240" w:lineRule="atLeast"/>
        <w:jc w:val="center"/>
        <w:rPr>
          <w:sz w:val="24"/>
          <w:szCs w:val="24"/>
        </w:rPr>
      </w:pPr>
      <w:r w:rsidRPr="00C5411C">
        <w:rPr>
          <w:sz w:val="24"/>
          <w:szCs w:val="24"/>
        </w:rPr>
        <w:t>МИНИСТЕРСТВО ПРИРОДНЫХ РЕСУРСОВ КРАСНОДАРСКОГО КРАЯ</w:t>
      </w:r>
    </w:p>
    <w:p w:rsidR="00CE0DAF" w:rsidRPr="00C5411C" w:rsidRDefault="00CE0DAF" w:rsidP="007F6AF5">
      <w:pPr>
        <w:spacing w:line="240" w:lineRule="atLeast"/>
        <w:jc w:val="center"/>
        <w:rPr>
          <w:sz w:val="24"/>
          <w:szCs w:val="24"/>
        </w:rPr>
      </w:pPr>
      <w:r w:rsidRPr="00C5411C">
        <w:rPr>
          <w:sz w:val="24"/>
          <w:szCs w:val="24"/>
        </w:rPr>
        <w:t>Государственное бюджетное учреждение Краснодарского края</w:t>
      </w:r>
    </w:p>
    <w:p w:rsidR="00CE0DAF" w:rsidRPr="00C5411C" w:rsidRDefault="00CE0DAF" w:rsidP="007F6AF5">
      <w:pPr>
        <w:spacing w:line="240" w:lineRule="atLeast"/>
        <w:jc w:val="center"/>
        <w:rPr>
          <w:sz w:val="24"/>
          <w:szCs w:val="24"/>
        </w:rPr>
      </w:pPr>
      <w:r w:rsidRPr="00C5411C">
        <w:rPr>
          <w:sz w:val="24"/>
          <w:szCs w:val="24"/>
        </w:rPr>
        <w:t>«Краевой информационно-аналитический центр экологического мониторинга»</w:t>
      </w:r>
    </w:p>
    <w:p w:rsidR="00CE0DAF" w:rsidRPr="00C5411C" w:rsidRDefault="00CE0DAF" w:rsidP="007F6AF5">
      <w:pPr>
        <w:spacing w:line="240" w:lineRule="atLeast"/>
        <w:jc w:val="center"/>
        <w:rPr>
          <w:sz w:val="24"/>
          <w:szCs w:val="24"/>
        </w:rPr>
      </w:pPr>
      <w:r w:rsidRPr="00C5411C">
        <w:rPr>
          <w:sz w:val="24"/>
          <w:szCs w:val="24"/>
        </w:rPr>
        <w:t>(ГБУ КК «КИАЦЭМ»)</w:t>
      </w:r>
    </w:p>
    <w:p w:rsidR="00CE0DAF" w:rsidRPr="00C5411C" w:rsidRDefault="00CE0DAF" w:rsidP="007F6AF5">
      <w:pPr>
        <w:spacing w:line="240" w:lineRule="atLeast"/>
        <w:jc w:val="center"/>
        <w:rPr>
          <w:sz w:val="24"/>
          <w:szCs w:val="24"/>
        </w:rPr>
      </w:pPr>
    </w:p>
    <w:p w:rsidR="00CE0DAF" w:rsidRPr="00C5411C" w:rsidRDefault="00CE0DAF" w:rsidP="007F6AF5">
      <w:pPr>
        <w:pStyle w:val="a9"/>
        <w:tabs>
          <w:tab w:val="left" w:pos="-5245"/>
        </w:tabs>
        <w:spacing w:after="0" w:line="240" w:lineRule="auto"/>
        <w:ind w:left="0" w:firstLine="851"/>
        <w:jc w:val="center"/>
        <w:rPr>
          <w:rFonts w:ascii="Times New Roman" w:hAnsi="Times New Roman" w:cs="Times New Roman"/>
          <w:sz w:val="24"/>
          <w:szCs w:val="24"/>
        </w:rPr>
      </w:pPr>
      <w:r w:rsidRPr="00C5411C">
        <w:rPr>
          <w:rFonts w:ascii="Times New Roman" w:hAnsi="Times New Roman" w:cs="Times New Roman"/>
          <w:sz w:val="24"/>
          <w:szCs w:val="24"/>
        </w:rPr>
        <w:t>Информация</w:t>
      </w:r>
    </w:p>
    <w:p w:rsidR="00CE0DAF" w:rsidRPr="00C5411C" w:rsidRDefault="00CE0DAF" w:rsidP="007F6AF5">
      <w:pPr>
        <w:pStyle w:val="a9"/>
        <w:tabs>
          <w:tab w:val="left" w:pos="-5245"/>
        </w:tabs>
        <w:spacing w:after="0" w:line="240" w:lineRule="auto"/>
        <w:ind w:left="0" w:firstLine="851"/>
        <w:jc w:val="center"/>
        <w:rPr>
          <w:rFonts w:ascii="Times New Roman" w:hAnsi="Times New Roman" w:cs="Times New Roman"/>
          <w:sz w:val="24"/>
          <w:szCs w:val="24"/>
        </w:rPr>
      </w:pPr>
      <w:r w:rsidRPr="00C5411C">
        <w:rPr>
          <w:rFonts w:ascii="Times New Roman" w:hAnsi="Times New Roman" w:cs="Times New Roman"/>
          <w:sz w:val="24"/>
          <w:szCs w:val="24"/>
        </w:rPr>
        <w:t>по вопросам организации и осуществления экологического мониторинга</w:t>
      </w:r>
    </w:p>
    <w:p w:rsidR="00CE0DAF" w:rsidRPr="00C5411C" w:rsidRDefault="00CE0DAF" w:rsidP="007F6AF5">
      <w:pPr>
        <w:pStyle w:val="a9"/>
        <w:tabs>
          <w:tab w:val="left" w:pos="-5245"/>
        </w:tabs>
        <w:spacing w:after="0" w:line="240" w:lineRule="auto"/>
        <w:ind w:left="0" w:firstLine="851"/>
        <w:jc w:val="center"/>
        <w:rPr>
          <w:rFonts w:ascii="Times New Roman" w:hAnsi="Times New Roman" w:cs="Times New Roman"/>
          <w:sz w:val="24"/>
          <w:szCs w:val="24"/>
        </w:rPr>
      </w:pPr>
      <w:r w:rsidRPr="00C5411C">
        <w:rPr>
          <w:rFonts w:ascii="Times New Roman" w:hAnsi="Times New Roman" w:cs="Times New Roman"/>
          <w:sz w:val="24"/>
          <w:szCs w:val="24"/>
        </w:rPr>
        <w:t>на территории Краснодарского края</w:t>
      </w:r>
    </w:p>
    <w:p w:rsidR="003E157E" w:rsidRPr="00C5411C" w:rsidRDefault="003E157E" w:rsidP="003E157E">
      <w:pPr>
        <w:ind w:firstLine="708"/>
        <w:jc w:val="center"/>
        <w:rPr>
          <w:sz w:val="24"/>
          <w:szCs w:val="24"/>
        </w:rPr>
      </w:pPr>
    </w:p>
    <w:p w:rsidR="00985F97" w:rsidRPr="003324E2" w:rsidRDefault="00985F97" w:rsidP="00985F97">
      <w:pPr>
        <w:pStyle w:val="a9"/>
        <w:tabs>
          <w:tab w:val="left" w:pos="-5245"/>
        </w:tabs>
        <w:spacing w:after="0" w:line="240" w:lineRule="auto"/>
        <w:ind w:left="0" w:firstLine="851"/>
        <w:jc w:val="center"/>
        <w:rPr>
          <w:rFonts w:ascii="Times New Roman" w:hAnsi="Times New Roman" w:cs="Times New Roman"/>
          <w:b/>
          <w:i/>
          <w:sz w:val="24"/>
          <w:szCs w:val="24"/>
        </w:rPr>
      </w:pPr>
      <w:r w:rsidRPr="003324E2">
        <w:rPr>
          <w:rFonts w:ascii="Times New Roman" w:hAnsi="Times New Roman" w:cs="Times New Roman"/>
          <w:b/>
          <w:i/>
          <w:sz w:val="24"/>
          <w:szCs w:val="24"/>
        </w:rPr>
        <w:t>Оперативный мониторинг состояния атмосферного воздуха</w:t>
      </w:r>
    </w:p>
    <w:p w:rsidR="007F6AF5" w:rsidRPr="00C5411C" w:rsidRDefault="007F6AF5" w:rsidP="00985F97">
      <w:pPr>
        <w:pStyle w:val="a9"/>
        <w:tabs>
          <w:tab w:val="left" w:pos="-5245"/>
        </w:tabs>
        <w:spacing w:after="0" w:line="240" w:lineRule="auto"/>
        <w:ind w:left="0" w:firstLine="851"/>
        <w:jc w:val="center"/>
        <w:rPr>
          <w:rFonts w:ascii="Times New Roman" w:hAnsi="Times New Roman" w:cs="Times New Roman"/>
          <w:sz w:val="24"/>
          <w:szCs w:val="24"/>
        </w:rPr>
      </w:pPr>
    </w:p>
    <w:p w:rsidR="00A152A0" w:rsidRPr="00A152A0" w:rsidRDefault="00985F97" w:rsidP="00A152A0">
      <w:pPr>
        <w:tabs>
          <w:tab w:val="left" w:pos="567"/>
        </w:tabs>
        <w:jc w:val="both"/>
        <w:rPr>
          <w:sz w:val="24"/>
        </w:rPr>
      </w:pPr>
      <w:r w:rsidRPr="00C5411C">
        <w:rPr>
          <w:sz w:val="24"/>
          <w:szCs w:val="24"/>
        </w:rPr>
        <w:t xml:space="preserve"> </w:t>
      </w:r>
      <w:r w:rsidRPr="00C5411C">
        <w:rPr>
          <w:sz w:val="24"/>
          <w:szCs w:val="24"/>
        </w:rPr>
        <w:tab/>
      </w:r>
      <w:r w:rsidR="00A152A0" w:rsidRPr="00A152A0">
        <w:rPr>
          <w:sz w:val="24"/>
        </w:rPr>
        <w:t>В сентябре 2013 года  контроль состояния атмосферного воздуха в районе   функционирования ООО «</w:t>
      </w:r>
      <w:proofErr w:type="spellStart"/>
      <w:r w:rsidR="00A152A0" w:rsidRPr="00A152A0">
        <w:rPr>
          <w:sz w:val="24"/>
        </w:rPr>
        <w:t>ЕвроХим-Белореченские</w:t>
      </w:r>
      <w:proofErr w:type="spellEnd"/>
      <w:r w:rsidR="00A152A0" w:rsidRPr="00A152A0">
        <w:rPr>
          <w:sz w:val="24"/>
        </w:rPr>
        <w:t xml:space="preserve"> </w:t>
      </w:r>
      <w:proofErr w:type="spellStart"/>
      <w:r w:rsidR="00A152A0" w:rsidRPr="00A152A0">
        <w:rPr>
          <w:sz w:val="24"/>
        </w:rPr>
        <w:t>минудобрения</w:t>
      </w:r>
      <w:proofErr w:type="spellEnd"/>
      <w:r w:rsidR="00A152A0" w:rsidRPr="00A152A0">
        <w:rPr>
          <w:sz w:val="24"/>
        </w:rPr>
        <w:t xml:space="preserve">» осуществлялся автоматическими станциями в хуторе </w:t>
      </w:r>
      <w:proofErr w:type="spellStart"/>
      <w:r w:rsidR="00A152A0" w:rsidRPr="00A152A0">
        <w:rPr>
          <w:sz w:val="24"/>
        </w:rPr>
        <w:t>Долгогусевский</w:t>
      </w:r>
      <w:proofErr w:type="spellEnd"/>
      <w:r w:rsidR="00A152A0" w:rsidRPr="00A152A0">
        <w:rPr>
          <w:sz w:val="24"/>
        </w:rPr>
        <w:t xml:space="preserve"> и поселке Мирный по следующим показателям: серы диоксид (SO</w:t>
      </w:r>
      <w:r w:rsidR="00A152A0" w:rsidRPr="00A152A0">
        <w:rPr>
          <w:sz w:val="24"/>
          <w:vertAlign w:val="subscript"/>
        </w:rPr>
        <w:t>2</w:t>
      </w:r>
      <w:r w:rsidR="00A152A0" w:rsidRPr="00A152A0">
        <w:rPr>
          <w:sz w:val="24"/>
        </w:rPr>
        <w:t>), аммиак (NH</w:t>
      </w:r>
      <w:r w:rsidR="00A152A0" w:rsidRPr="00A152A0">
        <w:rPr>
          <w:sz w:val="24"/>
          <w:vertAlign w:val="subscript"/>
        </w:rPr>
        <w:t>3</w:t>
      </w:r>
      <w:r w:rsidR="00A152A0" w:rsidRPr="00A152A0">
        <w:rPr>
          <w:sz w:val="24"/>
        </w:rPr>
        <w:t>),  фтористый водород (</w:t>
      </w:r>
      <w:r w:rsidR="00A152A0" w:rsidRPr="00A152A0">
        <w:rPr>
          <w:sz w:val="24"/>
          <w:lang w:val="en-US"/>
        </w:rPr>
        <w:t>HF</w:t>
      </w:r>
      <w:r w:rsidR="00A152A0" w:rsidRPr="00A152A0">
        <w:rPr>
          <w:sz w:val="24"/>
        </w:rPr>
        <w:t xml:space="preserve">), метеопараметры.   </w:t>
      </w:r>
    </w:p>
    <w:p w:rsidR="00A152A0" w:rsidRDefault="00A152A0" w:rsidP="00A152A0">
      <w:pPr>
        <w:pStyle w:val="aa"/>
        <w:tabs>
          <w:tab w:val="left" w:pos="-5245"/>
        </w:tabs>
        <w:spacing w:before="0" w:beforeAutospacing="0" w:after="0" w:afterAutospacing="0"/>
        <w:jc w:val="center"/>
        <w:rPr>
          <w:b/>
          <w:i/>
        </w:rPr>
      </w:pPr>
      <w:r>
        <w:rPr>
          <w:b/>
          <w:i/>
        </w:rPr>
        <w:t xml:space="preserve">График среднесуточных значений концентраций загрязняющих веществ в атмосферном воздухе </w:t>
      </w:r>
    </w:p>
    <w:p w:rsidR="00A152A0" w:rsidRDefault="00A152A0" w:rsidP="00A152A0">
      <w:pPr>
        <w:pStyle w:val="aa"/>
        <w:tabs>
          <w:tab w:val="left" w:pos="-5245"/>
        </w:tabs>
        <w:spacing w:before="0" w:beforeAutospacing="0" w:after="0" w:afterAutospacing="0"/>
        <w:jc w:val="center"/>
        <w:rPr>
          <w:b/>
          <w:i/>
        </w:rPr>
      </w:pPr>
      <w:r>
        <w:rPr>
          <w:b/>
          <w:i/>
        </w:rPr>
        <w:t>за период с 01.09.2013г. по 30.09.2013г. (автоматическая станция х. Мирный)</w:t>
      </w:r>
    </w:p>
    <w:p w:rsidR="00A152A0" w:rsidRDefault="00A152A0" w:rsidP="00A152A0">
      <w:pPr>
        <w:pStyle w:val="aa"/>
        <w:tabs>
          <w:tab w:val="left" w:pos="-5245"/>
        </w:tabs>
        <w:spacing w:after="0"/>
        <w:jc w:val="center"/>
        <w:rPr>
          <w:b/>
          <w:i/>
        </w:rPr>
      </w:pPr>
      <w:r>
        <w:rPr>
          <w:noProof/>
        </w:rPr>
        <w:drawing>
          <wp:inline distT="0" distB="0" distL="0" distR="0" wp14:anchorId="13CA80CC" wp14:editId="5ABBDD7C">
            <wp:extent cx="5717628" cy="3478924"/>
            <wp:effectExtent l="0" t="0" r="16510" b="266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52A0" w:rsidRPr="00A152A0" w:rsidRDefault="00A152A0" w:rsidP="00A152A0">
      <w:pPr>
        <w:ind w:left="-426" w:hanging="74"/>
        <w:jc w:val="center"/>
        <w:rPr>
          <w:b/>
          <w:i/>
          <w:sz w:val="24"/>
          <w:szCs w:val="24"/>
        </w:rPr>
      </w:pPr>
      <w:r w:rsidRPr="00A152A0">
        <w:rPr>
          <w:b/>
          <w:i/>
          <w:sz w:val="24"/>
          <w:szCs w:val="24"/>
        </w:rPr>
        <w:lastRenderedPageBreak/>
        <w:t xml:space="preserve">График среднесуточных значений концентраций загрязняющих веществ </w:t>
      </w:r>
    </w:p>
    <w:p w:rsidR="00A152A0" w:rsidRPr="00A152A0" w:rsidRDefault="00A152A0" w:rsidP="00A152A0">
      <w:pPr>
        <w:pStyle w:val="aa"/>
        <w:tabs>
          <w:tab w:val="left" w:pos="-5245"/>
        </w:tabs>
        <w:spacing w:before="0" w:beforeAutospacing="0" w:after="0" w:afterAutospacing="0"/>
        <w:jc w:val="center"/>
        <w:rPr>
          <w:b/>
          <w:i/>
        </w:rPr>
      </w:pPr>
      <w:r w:rsidRPr="00A152A0">
        <w:rPr>
          <w:b/>
          <w:i/>
        </w:rPr>
        <w:t>в атмосферном воздухе за период  с 01.09.2013г. по 30.09.2013г</w:t>
      </w:r>
      <w:proofErr w:type="gramStart"/>
      <w:r w:rsidRPr="00A152A0">
        <w:rPr>
          <w:b/>
          <w:i/>
        </w:rPr>
        <w:t>.(</w:t>
      </w:r>
      <w:proofErr w:type="gramEnd"/>
      <w:r w:rsidRPr="00A152A0">
        <w:rPr>
          <w:b/>
          <w:i/>
        </w:rPr>
        <w:t xml:space="preserve">автоматическая станция х. </w:t>
      </w:r>
      <w:proofErr w:type="spellStart"/>
      <w:r w:rsidRPr="00A152A0">
        <w:rPr>
          <w:b/>
          <w:i/>
        </w:rPr>
        <w:t>Долгогусевский</w:t>
      </w:r>
      <w:proofErr w:type="spellEnd"/>
    </w:p>
    <w:p w:rsidR="00A152A0" w:rsidRDefault="00A152A0" w:rsidP="00A152A0">
      <w:pPr>
        <w:pStyle w:val="aa"/>
        <w:tabs>
          <w:tab w:val="left" w:pos="-5245"/>
        </w:tabs>
        <w:spacing w:after="0"/>
        <w:jc w:val="center"/>
        <w:rPr>
          <w:b/>
          <w:noProof/>
          <w:sz w:val="28"/>
          <w:szCs w:val="28"/>
        </w:rPr>
      </w:pPr>
      <w:r>
        <w:rPr>
          <w:noProof/>
        </w:rPr>
        <w:drawing>
          <wp:inline distT="0" distB="0" distL="0" distR="0" wp14:anchorId="39CD8B49" wp14:editId="1D654A09">
            <wp:extent cx="6243145" cy="4435365"/>
            <wp:effectExtent l="0" t="0" r="24765" b="2286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52A0" w:rsidRDefault="00A152A0" w:rsidP="00A152A0">
      <w:pPr>
        <w:pStyle w:val="aa"/>
        <w:tabs>
          <w:tab w:val="left" w:pos="-5245"/>
        </w:tabs>
        <w:spacing w:after="0"/>
        <w:jc w:val="both"/>
        <w:rPr>
          <w:noProof/>
          <w:szCs w:val="28"/>
        </w:rPr>
      </w:pPr>
      <w:r>
        <w:rPr>
          <w:noProof/>
          <w:szCs w:val="28"/>
        </w:rPr>
        <w:tab/>
        <w:t xml:space="preserve">С 29.09.2013 на станциях автоматического контроля атмосферного воздуха в х.Долгогусевский и п.Мирный ведутся работы по плановому техническому обслуживанию и поверки оборудования, в связи с чем отбор проб атмосферного воздуха и выполнение измерений осуществляет аккредитованная лаборатория. </w:t>
      </w:r>
    </w:p>
    <w:p w:rsidR="00A152A0" w:rsidRDefault="00A152A0" w:rsidP="00A152A0">
      <w:pPr>
        <w:pStyle w:val="aa"/>
        <w:tabs>
          <w:tab w:val="left" w:pos="-5245"/>
        </w:tabs>
        <w:spacing w:after="0"/>
        <w:jc w:val="both"/>
        <w:rPr>
          <w:b/>
          <w:noProof/>
          <w:sz w:val="28"/>
          <w:szCs w:val="28"/>
        </w:rPr>
      </w:pPr>
    </w:p>
    <w:p w:rsidR="00A152A0" w:rsidRDefault="00A152A0" w:rsidP="00A152A0">
      <w:pPr>
        <w:spacing w:line="360" w:lineRule="auto"/>
        <w:jc w:val="center"/>
        <w:rPr>
          <w:b/>
          <w:sz w:val="28"/>
          <w:szCs w:val="28"/>
        </w:rPr>
      </w:pPr>
    </w:p>
    <w:p w:rsidR="00A152A0" w:rsidRDefault="00A152A0" w:rsidP="00A152A0">
      <w:pPr>
        <w:spacing w:line="360" w:lineRule="auto"/>
        <w:jc w:val="center"/>
        <w:rPr>
          <w:b/>
          <w:sz w:val="28"/>
          <w:szCs w:val="28"/>
        </w:rPr>
      </w:pPr>
      <w:r>
        <w:rPr>
          <w:b/>
          <w:sz w:val="28"/>
          <w:szCs w:val="28"/>
        </w:rPr>
        <w:lastRenderedPageBreak/>
        <w:t xml:space="preserve">Мониторинг состояния атмосферного воздуха в </w:t>
      </w:r>
      <w:proofErr w:type="spellStart"/>
      <w:r>
        <w:rPr>
          <w:b/>
          <w:sz w:val="28"/>
          <w:szCs w:val="28"/>
        </w:rPr>
        <w:t>г</w:t>
      </w:r>
      <w:proofErr w:type="gramStart"/>
      <w:r>
        <w:rPr>
          <w:b/>
          <w:sz w:val="28"/>
          <w:szCs w:val="28"/>
        </w:rPr>
        <w:t>.К</w:t>
      </w:r>
      <w:proofErr w:type="gramEnd"/>
      <w:r>
        <w:rPr>
          <w:b/>
          <w:sz w:val="28"/>
          <w:szCs w:val="28"/>
        </w:rPr>
        <w:t>раснодаре</w:t>
      </w:r>
      <w:proofErr w:type="spellEnd"/>
    </w:p>
    <w:p w:rsidR="00A152A0" w:rsidRDefault="00A152A0" w:rsidP="00A152A0">
      <w:pPr>
        <w:spacing w:line="360" w:lineRule="auto"/>
        <w:jc w:val="center"/>
        <w:rPr>
          <w:b/>
          <w:i/>
          <w:sz w:val="24"/>
          <w:szCs w:val="24"/>
        </w:rPr>
      </w:pPr>
      <w:r>
        <w:rPr>
          <w:b/>
          <w:i/>
        </w:rPr>
        <w:t xml:space="preserve">Мониторинг состояния атмосферного воздуха в </w:t>
      </w:r>
      <w:proofErr w:type="spellStart"/>
      <w:r>
        <w:rPr>
          <w:b/>
          <w:i/>
        </w:rPr>
        <w:t>г</w:t>
      </w:r>
      <w:proofErr w:type="gramStart"/>
      <w:r>
        <w:rPr>
          <w:b/>
          <w:i/>
        </w:rPr>
        <w:t>.К</w:t>
      </w:r>
      <w:proofErr w:type="gramEnd"/>
      <w:r>
        <w:rPr>
          <w:b/>
          <w:i/>
        </w:rPr>
        <w:t>раснодаре</w:t>
      </w:r>
      <w:proofErr w:type="spellEnd"/>
    </w:p>
    <w:p w:rsidR="00A152A0" w:rsidRPr="00A152A0" w:rsidRDefault="00A152A0" w:rsidP="00A152A0">
      <w:pPr>
        <w:ind w:firstLine="708"/>
        <w:jc w:val="both"/>
        <w:rPr>
          <w:sz w:val="24"/>
        </w:rPr>
      </w:pPr>
      <w:r w:rsidRPr="00A152A0">
        <w:rPr>
          <w:sz w:val="24"/>
        </w:rPr>
        <w:t xml:space="preserve">Мониторинг состояния атмосферного воздуха на территории муниципального образования г. Краснодар осуществлялся муниципальным казенным учреждением </w:t>
      </w:r>
      <w:proofErr w:type="spellStart"/>
      <w:r w:rsidRPr="00A152A0">
        <w:rPr>
          <w:sz w:val="24"/>
        </w:rPr>
        <w:t>г</w:t>
      </w:r>
      <w:proofErr w:type="gramStart"/>
      <w:r w:rsidRPr="00A152A0">
        <w:rPr>
          <w:sz w:val="24"/>
        </w:rPr>
        <w:t>.К</w:t>
      </w:r>
      <w:proofErr w:type="gramEnd"/>
      <w:r w:rsidRPr="00A152A0">
        <w:rPr>
          <w:sz w:val="24"/>
        </w:rPr>
        <w:t>раснодара</w:t>
      </w:r>
      <w:proofErr w:type="spellEnd"/>
      <w:r w:rsidRPr="00A152A0">
        <w:rPr>
          <w:sz w:val="24"/>
        </w:rPr>
        <w:t xml:space="preserve">  «Служба по охране окружающей среды» на</w:t>
      </w:r>
      <w:r w:rsidRPr="00A152A0">
        <w:rPr>
          <w:rFonts w:ascii="Trebuchet MS" w:hAnsi="Trebuchet MS"/>
          <w:sz w:val="24"/>
        </w:rPr>
        <w:t xml:space="preserve">  </w:t>
      </w:r>
      <w:r w:rsidRPr="00A152A0">
        <w:rPr>
          <w:sz w:val="24"/>
        </w:rPr>
        <w:t>двух</w:t>
      </w:r>
      <w:r w:rsidRPr="00A152A0">
        <w:rPr>
          <w:rFonts w:ascii="Baskerville Old Face" w:hAnsi="Baskerville Old Face"/>
          <w:sz w:val="24"/>
        </w:rPr>
        <w:t xml:space="preserve"> </w:t>
      </w:r>
      <w:r w:rsidRPr="00A152A0">
        <w:rPr>
          <w:sz w:val="24"/>
        </w:rPr>
        <w:t>стационарных  автоматических  постах контроля атмосферного воздуха (ПКЗ-1 и  ПКЗ-2), расположенных на ул. Постовой, 34 и ул. Тургенева-</w:t>
      </w:r>
      <w:proofErr w:type="spellStart"/>
      <w:r w:rsidRPr="00A152A0">
        <w:rPr>
          <w:sz w:val="24"/>
        </w:rPr>
        <w:t>Атарбекова</w:t>
      </w:r>
      <w:proofErr w:type="spellEnd"/>
      <w:r w:rsidRPr="00A152A0">
        <w:rPr>
          <w:sz w:val="24"/>
        </w:rPr>
        <w:t>, а также передвижной экологической лабораторией (ПЭЛ).</w:t>
      </w:r>
    </w:p>
    <w:p w:rsidR="00A152A0" w:rsidRDefault="00A152A0" w:rsidP="00A152A0">
      <w:pPr>
        <w:ind w:firstLine="708"/>
        <w:jc w:val="both"/>
        <w:rPr>
          <w:color w:val="000000"/>
          <w:sz w:val="24"/>
        </w:rPr>
      </w:pPr>
      <w:r w:rsidRPr="00A152A0">
        <w:rPr>
          <w:sz w:val="24"/>
        </w:rPr>
        <w:t xml:space="preserve">По информации представленной МКУ «Служба по охране окружающей среды» </w:t>
      </w:r>
      <w:r w:rsidRPr="00A152A0">
        <w:rPr>
          <w:color w:val="000000"/>
          <w:sz w:val="24"/>
        </w:rPr>
        <w:t>в сентябре 2013 года на ПКЗ-1 и ПКЗ-2 отобрано и обработано 32470 проб атмосферного воздуха. Концентрации загрязняющих веще</w:t>
      </w:r>
      <w:proofErr w:type="gramStart"/>
      <w:r w:rsidRPr="00A152A0">
        <w:rPr>
          <w:color w:val="000000"/>
          <w:sz w:val="24"/>
        </w:rPr>
        <w:t>ств пр</w:t>
      </w:r>
      <w:proofErr w:type="gramEnd"/>
      <w:r w:rsidRPr="00A152A0">
        <w:rPr>
          <w:color w:val="000000"/>
          <w:sz w:val="24"/>
        </w:rPr>
        <w:t>едставлены в таблице № 1.</w:t>
      </w:r>
    </w:p>
    <w:p w:rsidR="00A152A0" w:rsidRPr="00A152A0" w:rsidRDefault="00A152A0" w:rsidP="00A152A0">
      <w:pPr>
        <w:ind w:firstLine="708"/>
        <w:jc w:val="both"/>
        <w:rPr>
          <w:color w:val="000000"/>
          <w:sz w:val="24"/>
        </w:rPr>
      </w:pPr>
    </w:p>
    <w:p w:rsidR="00A152A0" w:rsidRDefault="00A152A0" w:rsidP="00A152A0">
      <w:pPr>
        <w:pStyle w:val="aa"/>
        <w:spacing w:before="0" w:beforeAutospacing="0" w:after="0" w:afterAutospacing="0"/>
        <w:jc w:val="center"/>
        <w:rPr>
          <w:color w:val="000000"/>
        </w:rPr>
      </w:pPr>
      <w:r>
        <w:rPr>
          <w:color w:val="000000"/>
        </w:rPr>
        <w:t>Таблица № 1. Средние концентрации загрязняющих веществ согласно данным ПКЗ-1, ПКЗ-2</w:t>
      </w:r>
    </w:p>
    <w:tbl>
      <w:tblPr>
        <w:tblStyle w:val="a3"/>
        <w:tblW w:w="9364" w:type="dxa"/>
        <w:jc w:val="center"/>
        <w:tblLook w:val="04A0" w:firstRow="1" w:lastRow="0" w:firstColumn="1" w:lastColumn="0" w:noHBand="0" w:noVBand="1"/>
      </w:tblPr>
      <w:tblGrid>
        <w:gridCol w:w="1456"/>
        <w:gridCol w:w="706"/>
        <w:gridCol w:w="707"/>
        <w:gridCol w:w="706"/>
        <w:gridCol w:w="707"/>
        <w:gridCol w:w="707"/>
        <w:gridCol w:w="707"/>
        <w:gridCol w:w="706"/>
        <w:gridCol w:w="707"/>
        <w:gridCol w:w="842"/>
        <w:gridCol w:w="706"/>
        <w:gridCol w:w="707"/>
      </w:tblGrid>
      <w:tr w:rsidR="00A152A0" w:rsidTr="00A152A0">
        <w:trPr>
          <w:jc w:val="center"/>
        </w:trPr>
        <w:tc>
          <w:tcPr>
            <w:tcW w:w="1456"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color w:val="000000"/>
              </w:rPr>
              <w:t> </w:t>
            </w:r>
            <w:r>
              <w:rPr>
                <w:color w:val="000000"/>
                <w:sz w:val="20"/>
              </w:rPr>
              <w:t>Вещество</w:t>
            </w:r>
          </w:p>
        </w:tc>
        <w:tc>
          <w:tcPr>
            <w:tcW w:w="706"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color w:val="000000"/>
                <w:sz w:val="20"/>
              </w:rPr>
              <w:t>С</w:t>
            </w:r>
            <w:proofErr w:type="gramStart"/>
            <w:r>
              <w:rPr>
                <w:color w:val="000000"/>
                <w:sz w:val="20"/>
              </w:rPr>
              <w:t>H</w:t>
            </w:r>
            <w:proofErr w:type="gramEnd"/>
          </w:p>
        </w:tc>
        <w:tc>
          <w:tcPr>
            <w:tcW w:w="707"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color w:val="000000"/>
                <w:sz w:val="20"/>
              </w:rPr>
              <w:t>CH</w:t>
            </w:r>
            <w:r>
              <w:rPr>
                <w:color w:val="000000"/>
                <w:sz w:val="20"/>
                <w:vertAlign w:val="subscript"/>
              </w:rPr>
              <w:t>4</w:t>
            </w:r>
          </w:p>
        </w:tc>
        <w:tc>
          <w:tcPr>
            <w:tcW w:w="706"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proofErr w:type="spellStart"/>
            <w:r>
              <w:rPr>
                <w:color w:val="000000"/>
                <w:sz w:val="20"/>
              </w:rPr>
              <w:t>CH</w:t>
            </w:r>
            <w:r>
              <w:rPr>
                <w:color w:val="000000"/>
                <w:sz w:val="20"/>
                <w:vertAlign w:val="subscript"/>
              </w:rPr>
              <w:t>x</w:t>
            </w:r>
            <w:proofErr w:type="spellEnd"/>
          </w:p>
        </w:tc>
        <w:tc>
          <w:tcPr>
            <w:tcW w:w="707"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color w:val="000000"/>
                <w:sz w:val="20"/>
              </w:rPr>
              <w:t>CO</w:t>
            </w:r>
          </w:p>
        </w:tc>
        <w:tc>
          <w:tcPr>
            <w:tcW w:w="707"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color w:val="000000"/>
                <w:sz w:val="20"/>
              </w:rPr>
              <w:t>H</w:t>
            </w:r>
            <w:r>
              <w:rPr>
                <w:color w:val="000000"/>
                <w:sz w:val="20"/>
                <w:vertAlign w:val="subscript"/>
              </w:rPr>
              <w:t>2</w:t>
            </w:r>
            <w:r>
              <w:rPr>
                <w:color w:val="000000"/>
                <w:sz w:val="20"/>
              </w:rPr>
              <w:t>S</w:t>
            </w:r>
          </w:p>
        </w:tc>
        <w:tc>
          <w:tcPr>
            <w:tcW w:w="707"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color w:val="000000"/>
                <w:sz w:val="20"/>
              </w:rPr>
              <w:t>NH</w:t>
            </w:r>
            <w:r>
              <w:rPr>
                <w:color w:val="000000"/>
                <w:sz w:val="20"/>
                <w:vertAlign w:val="subscript"/>
              </w:rPr>
              <w:t>3</w:t>
            </w:r>
          </w:p>
        </w:tc>
        <w:tc>
          <w:tcPr>
            <w:tcW w:w="706"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color w:val="000000"/>
                <w:sz w:val="20"/>
              </w:rPr>
              <w:t>NO</w:t>
            </w:r>
          </w:p>
        </w:tc>
        <w:tc>
          <w:tcPr>
            <w:tcW w:w="707"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color w:val="000000"/>
                <w:sz w:val="20"/>
              </w:rPr>
              <w:t>NO</w:t>
            </w:r>
            <w:r>
              <w:rPr>
                <w:color w:val="000000"/>
                <w:sz w:val="20"/>
                <w:vertAlign w:val="subscript"/>
              </w:rPr>
              <w:t>2</w:t>
            </w:r>
          </w:p>
        </w:tc>
        <w:tc>
          <w:tcPr>
            <w:tcW w:w="842"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proofErr w:type="spellStart"/>
            <w:r>
              <w:rPr>
                <w:color w:val="000000"/>
                <w:sz w:val="20"/>
              </w:rPr>
              <w:t>NO</w:t>
            </w:r>
            <w:r>
              <w:rPr>
                <w:color w:val="000000"/>
                <w:sz w:val="20"/>
                <w:vertAlign w:val="subscript"/>
              </w:rPr>
              <w:t>x</w:t>
            </w:r>
            <w:proofErr w:type="spellEnd"/>
          </w:p>
        </w:tc>
        <w:tc>
          <w:tcPr>
            <w:tcW w:w="706"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color w:val="000000"/>
                <w:sz w:val="20"/>
              </w:rPr>
              <w:t>SO</w:t>
            </w:r>
            <w:r>
              <w:rPr>
                <w:color w:val="000000"/>
                <w:sz w:val="20"/>
                <w:vertAlign w:val="subscript"/>
              </w:rPr>
              <w:t>2</w:t>
            </w:r>
          </w:p>
        </w:tc>
        <w:tc>
          <w:tcPr>
            <w:tcW w:w="707"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color w:val="000000"/>
                <w:sz w:val="20"/>
              </w:rPr>
              <w:t>пыль</w:t>
            </w:r>
          </w:p>
        </w:tc>
      </w:tr>
      <w:tr w:rsidR="00A152A0" w:rsidTr="00A152A0">
        <w:trPr>
          <w:jc w:val="center"/>
        </w:trPr>
        <w:tc>
          <w:tcPr>
            <w:tcW w:w="1456"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color w:val="000000"/>
                <w:sz w:val="20"/>
              </w:rPr>
              <w:t>Средняя концентрация,</w:t>
            </w:r>
          </w:p>
          <w:p w:rsidR="00A152A0" w:rsidRDefault="00A152A0" w:rsidP="00A152A0">
            <w:pPr>
              <w:pStyle w:val="aa"/>
              <w:shd w:val="clear" w:color="auto" w:fill="FFFFFF"/>
              <w:spacing w:before="0" w:beforeAutospacing="0" w:after="0" w:afterAutospacing="0"/>
              <w:jc w:val="both"/>
              <w:rPr>
                <w:color w:val="000000"/>
                <w:sz w:val="20"/>
              </w:rPr>
            </w:pPr>
            <w:r>
              <w:rPr>
                <w:color w:val="000000"/>
                <w:sz w:val="20"/>
              </w:rPr>
              <w:t>мг/м</w:t>
            </w:r>
            <w:r>
              <w:rPr>
                <w:color w:val="000000"/>
                <w:sz w:val="20"/>
                <w:vertAlign w:val="superscript"/>
              </w:rPr>
              <w:t>3</w:t>
            </w:r>
          </w:p>
        </w:tc>
        <w:tc>
          <w:tcPr>
            <w:tcW w:w="706"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color w:val="000000"/>
                <w:sz w:val="20"/>
              </w:rPr>
              <w:t>1,976</w:t>
            </w:r>
          </w:p>
        </w:tc>
        <w:tc>
          <w:tcPr>
            <w:tcW w:w="707"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color w:val="000000"/>
                <w:sz w:val="20"/>
              </w:rPr>
              <w:t>1,037</w:t>
            </w:r>
          </w:p>
        </w:tc>
        <w:tc>
          <w:tcPr>
            <w:tcW w:w="706"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color w:val="000000"/>
                <w:sz w:val="20"/>
              </w:rPr>
              <w:t>0,951</w:t>
            </w:r>
          </w:p>
        </w:tc>
        <w:tc>
          <w:tcPr>
            <w:tcW w:w="707"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color w:val="000000"/>
                <w:sz w:val="20"/>
              </w:rPr>
              <w:t>0,767</w:t>
            </w:r>
          </w:p>
        </w:tc>
        <w:tc>
          <w:tcPr>
            <w:tcW w:w="707"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color w:val="000000"/>
                <w:sz w:val="20"/>
              </w:rPr>
              <w:t>0,003</w:t>
            </w:r>
          </w:p>
        </w:tc>
        <w:tc>
          <w:tcPr>
            <w:tcW w:w="707"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color w:val="000000"/>
                <w:sz w:val="20"/>
              </w:rPr>
              <w:t>0,002</w:t>
            </w:r>
          </w:p>
        </w:tc>
        <w:tc>
          <w:tcPr>
            <w:tcW w:w="706"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color w:val="000000"/>
                <w:sz w:val="20"/>
              </w:rPr>
              <w:t>0,017</w:t>
            </w:r>
          </w:p>
        </w:tc>
        <w:tc>
          <w:tcPr>
            <w:tcW w:w="707"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color w:val="000000"/>
                <w:sz w:val="20"/>
              </w:rPr>
              <w:t>0,024</w:t>
            </w:r>
          </w:p>
        </w:tc>
        <w:tc>
          <w:tcPr>
            <w:tcW w:w="842"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color w:val="000000"/>
                <w:sz w:val="20"/>
              </w:rPr>
              <w:t>0,040</w:t>
            </w:r>
          </w:p>
        </w:tc>
        <w:tc>
          <w:tcPr>
            <w:tcW w:w="706"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color w:val="000000"/>
                <w:sz w:val="20"/>
              </w:rPr>
              <w:t>0,003</w:t>
            </w:r>
          </w:p>
        </w:tc>
        <w:tc>
          <w:tcPr>
            <w:tcW w:w="707"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color w:val="000000"/>
                <w:sz w:val="20"/>
              </w:rPr>
              <w:t>0,014</w:t>
            </w:r>
          </w:p>
        </w:tc>
      </w:tr>
      <w:tr w:rsidR="00A152A0" w:rsidTr="00A152A0">
        <w:trPr>
          <w:jc w:val="center"/>
        </w:trPr>
        <w:tc>
          <w:tcPr>
            <w:tcW w:w="1456"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proofErr w:type="spellStart"/>
            <w:r>
              <w:rPr>
                <w:b/>
                <w:bCs/>
                <w:color w:val="000000"/>
                <w:sz w:val="20"/>
              </w:rPr>
              <w:t>ПДК</w:t>
            </w:r>
            <w:r>
              <w:rPr>
                <w:b/>
                <w:bCs/>
                <w:color w:val="000000"/>
                <w:sz w:val="20"/>
                <w:vertAlign w:val="subscript"/>
              </w:rPr>
              <w:t>с.с</w:t>
            </w:r>
            <w:proofErr w:type="spellEnd"/>
            <w:r>
              <w:rPr>
                <w:b/>
                <w:bCs/>
                <w:color w:val="000000"/>
                <w:sz w:val="20"/>
                <w:vertAlign w:val="subscript"/>
              </w:rPr>
              <w:t>.</w:t>
            </w:r>
            <w:r>
              <w:rPr>
                <w:b/>
                <w:bCs/>
                <w:color w:val="000000"/>
                <w:sz w:val="20"/>
              </w:rPr>
              <w:t>, мг/м</w:t>
            </w:r>
            <w:r>
              <w:rPr>
                <w:b/>
                <w:bCs/>
                <w:color w:val="000000"/>
                <w:sz w:val="20"/>
                <w:vertAlign w:val="superscript"/>
              </w:rPr>
              <w:t>3</w:t>
            </w:r>
          </w:p>
        </w:tc>
        <w:tc>
          <w:tcPr>
            <w:tcW w:w="706"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b/>
                <w:bCs/>
                <w:color w:val="000000"/>
                <w:sz w:val="20"/>
              </w:rPr>
              <w:t>-</w:t>
            </w:r>
          </w:p>
        </w:tc>
        <w:tc>
          <w:tcPr>
            <w:tcW w:w="707"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b/>
                <w:bCs/>
                <w:color w:val="000000"/>
                <w:sz w:val="20"/>
              </w:rPr>
              <w:t>-</w:t>
            </w:r>
          </w:p>
        </w:tc>
        <w:tc>
          <w:tcPr>
            <w:tcW w:w="706"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b/>
                <w:bCs/>
                <w:color w:val="000000"/>
                <w:sz w:val="20"/>
              </w:rPr>
              <w:t>-</w:t>
            </w:r>
          </w:p>
        </w:tc>
        <w:tc>
          <w:tcPr>
            <w:tcW w:w="707"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b/>
                <w:bCs/>
                <w:color w:val="000000"/>
                <w:sz w:val="20"/>
              </w:rPr>
              <w:t>3,000</w:t>
            </w:r>
          </w:p>
        </w:tc>
        <w:tc>
          <w:tcPr>
            <w:tcW w:w="707"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b/>
                <w:bCs/>
                <w:color w:val="000000"/>
                <w:sz w:val="20"/>
              </w:rPr>
              <w:t>-</w:t>
            </w:r>
          </w:p>
        </w:tc>
        <w:tc>
          <w:tcPr>
            <w:tcW w:w="707"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b/>
                <w:bCs/>
                <w:color w:val="000000"/>
                <w:sz w:val="20"/>
              </w:rPr>
              <w:t>0,040</w:t>
            </w:r>
          </w:p>
        </w:tc>
        <w:tc>
          <w:tcPr>
            <w:tcW w:w="706"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b/>
                <w:bCs/>
                <w:color w:val="000000"/>
                <w:sz w:val="20"/>
              </w:rPr>
              <w:t>0,060</w:t>
            </w:r>
          </w:p>
        </w:tc>
        <w:tc>
          <w:tcPr>
            <w:tcW w:w="707"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b/>
                <w:bCs/>
                <w:color w:val="000000"/>
                <w:sz w:val="20"/>
              </w:rPr>
              <w:t>0,040</w:t>
            </w:r>
          </w:p>
        </w:tc>
        <w:tc>
          <w:tcPr>
            <w:tcW w:w="842"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b/>
                <w:bCs/>
                <w:color w:val="000000"/>
                <w:sz w:val="20"/>
              </w:rPr>
              <w:t>-</w:t>
            </w:r>
          </w:p>
        </w:tc>
        <w:tc>
          <w:tcPr>
            <w:tcW w:w="706"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b/>
                <w:bCs/>
                <w:color w:val="000000"/>
                <w:sz w:val="20"/>
              </w:rPr>
              <w:t>0,050</w:t>
            </w:r>
          </w:p>
        </w:tc>
        <w:tc>
          <w:tcPr>
            <w:tcW w:w="707" w:type="dxa"/>
            <w:tcBorders>
              <w:top w:val="single" w:sz="4" w:space="0" w:color="auto"/>
              <w:left w:val="single" w:sz="4" w:space="0" w:color="auto"/>
              <w:bottom w:val="single" w:sz="4" w:space="0" w:color="auto"/>
              <w:right w:val="single" w:sz="4" w:space="0" w:color="auto"/>
            </w:tcBorders>
            <w:hideMark/>
          </w:tcPr>
          <w:p w:rsidR="00A152A0" w:rsidRDefault="00A152A0" w:rsidP="00A152A0">
            <w:pPr>
              <w:pStyle w:val="aa"/>
              <w:shd w:val="clear" w:color="auto" w:fill="FFFFFF"/>
              <w:spacing w:before="0" w:beforeAutospacing="0" w:after="0" w:afterAutospacing="0"/>
              <w:jc w:val="both"/>
              <w:rPr>
                <w:color w:val="000000"/>
                <w:sz w:val="20"/>
              </w:rPr>
            </w:pPr>
            <w:r>
              <w:rPr>
                <w:b/>
                <w:bCs/>
                <w:color w:val="000000"/>
                <w:sz w:val="20"/>
              </w:rPr>
              <w:t>0,150</w:t>
            </w:r>
          </w:p>
        </w:tc>
      </w:tr>
    </w:tbl>
    <w:p w:rsidR="00A152A0" w:rsidRDefault="00A152A0" w:rsidP="00A152A0">
      <w:pPr>
        <w:pStyle w:val="aa"/>
        <w:spacing w:before="0" w:beforeAutospacing="0" w:after="0" w:afterAutospacing="0"/>
        <w:ind w:firstLine="708"/>
        <w:jc w:val="both"/>
        <w:rPr>
          <w:color w:val="000000"/>
        </w:rPr>
      </w:pPr>
      <w:r>
        <w:rPr>
          <w:color w:val="000000"/>
        </w:rPr>
        <w:t> Для графического представления состояния загрязнения атмосферы, концентрации замеряемых веще</w:t>
      </w:r>
      <w:proofErr w:type="gramStart"/>
      <w:r>
        <w:rPr>
          <w:color w:val="000000"/>
        </w:rPr>
        <w:t>ств пр</w:t>
      </w:r>
      <w:proofErr w:type="gramEnd"/>
      <w:r>
        <w:rPr>
          <w:color w:val="000000"/>
        </w:rPr>
        <w:t>едставлены в долях ПДК. Доля ПДК – отношение концентрации вещества (мг/м</w:t>
      </w:r>
      <w:r>
        <w:rPr>
          <w:color w:val="000000"/>
          <w:vertAlign w:val="superscript"/>
        </w:rPr>
        <w:t>3</w:t>
      </w:r>
      <w:r>
        <w:rPr>
          <w:color w:val="000000"/>
        </w:rPr>
        <w:t>) к гигиеническому нормативу (мг/м</w:t>
      </w:r>
      <w:r>
        <w:rPr>
          <w:color w:val="000000"/>
          <w:vertAlign w:val="superscript"/>
        </w:rPr>
        <w:t>3</w:t>
      </w:r>
      <w:r>
        <w:rPr>
          <w:color w:val="000000"/>
        </w:rPr>
        <w:t>). Результаты представлены на рисунке 1.</w:t>
      </w:r>
    </w:p>
    <w:p w:rsidR="00A152A0" w:rsidRPr="00A152A0" w:rsidRDefault="00A152A0" w:rsidP="00A152A0">
      <w:pPr>
        <w:pStyle w:val="aa"/>
        <w:spacing w:before="0" w:beforeAutospacing="0" w:after="0" w:afterAutospacing="0"/>
        <w:ind w:firstLine="708"/>
        <w:jc w:val="center"/>
        <w:rPr>
          <w:b/>
          <w:i/>
          <w:color w:val="000000"/>
        </w:rPr>
      </w:pPr>
      <w:r w:rsidRPr="00A152A0">
        <w:rPr>
          <w:b/>
          <w:i/>
          <w:color w:val="000000"/>
        </w:rPr>
        <w:t xml:space="preserve">Рисунок 1. Доли </w:t>
      </w:r>
      <w:proofErr w:type="spellStart"/>
      <w:r w:rsidRPr="00A152A0">
        <w:rPr>
          <w:b/>
          <w:i/>
          <w:color w:val="000000"/>
        </w:rPr>
        <w:t>ПДК</w:t>
      </w:r>
      <w:r w:rsidRPr="00A152A0">
        <w:rPr>
          <w:b/>
          <w:i/>
          <w:color w:val="000000"/>
          <w:vertAlign w:val="subscript"/>
        </w:rPr>
        <w:t>с.с</w:t>
      </w:r>
      <w:proofErr w:type="spellEnd"/>
      <w:r w:rsidRPr="00A152A0">
        <w:rPr>
          <w:b/>
          <w:i/>
          <w:color w:val="000000"/>
          <w:vertAlign w:val="subscript"/>
        </w:rPr>
        <w:t>. </w:t>
      </w:r>
      <w:r w:rsidRPr="00A152A0">
        <w:rPr>
          <w:b/>
          <w:i/>
          <w:color w:val="000000"/>
        </w:rPr>
        <w:t>загрязняющих веществ в общем загрязнении атмосферного воздуха согласно ПКЗ-1, ПКЗ-2.</w:t>
      </w:r>
    </w:p>
    <w:p w:rsidR="00A152A0" w:rsidRDefault="00A152A0" w:rsidP="00A152A0">
      <w:pPr>
        <w:pStyle w:val="aa"/>
        <w:ind w:firstLine="708"/>
        <w:jc w:val="center"/>
        <w:rPr>
          <w:color w:val="000000"/>
        </w:rPr>
      </w:pPr>
      <w:r>
        <w:rPr>
          <w:noProof/>
          <w:color w:val="000000"/>
        </w:rPr>
        <w:drawing>
          <wp:inline distT="0" distB="0" distL="0" distR="0" wp14:anchorId="51D5FEEE" wp14:editId="19A1CB20">
            <wp:extent cx="4393565" cy="2753995"/>
            <wp:effectExtent l="0" t="0" r="6985" b="8255"/>
            <wp:docPr id="4" name="Рисунок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3565" cy="2753995"/>
                    </a:xfrm>
                    <a:prstGeom prst="rect">
                      <a:avLst/>
                    </a:prstGeom>
                    <a:noFill/>
                    <a:ln>
                      <a:noFill/>
                    </a:ln>
                  </pic:spPr>
                </pic:pic>
              </a:graphicData>
            </a:graphic>
          </wp:inline>
        </w:drawing>
      </w:r>
    </w:p>
    <w:p w:rsidR="002906FA" w:rsidRDefault="002906FA" w:rsidP="00A152A0">
      <w:pPr>
        <w:pStyle w:val="aa"/>
        <w:spacing w:before="0" w:beforeAutospacing="0" w:after="0" w:afterAutospacing="0"/>
        <w:ind w:firstLine="708"/>
        <w:jc w:val="both"/>
        <w:rPr>
          <w:color w:val="000000"/>
        </w:rPr>
      </w:pPr>
    </w:p>
    <w:p w:rsidR="00A152A0" w:rsidRDefault="00A152A0" w:rsidP="00A152A0">
      <w:pPr>
        <w:pStyle w:val="aa"/>
        <w:spacing w:before="0" w:beforeAutospacing="0" w:after="0" w:afterAutospacing="0"/>
        <w:ind w:firstLine="708"/>
        <w:jc w:val="both"/>
        <w:rPr>
          <w:color w:val="000000"/>
        </w:rPr>
      </w:pPr>
      <w:r>
        <w:rPr>
          <w:color w:val="000000"/>
        </w:rPr>
        <w:lastRenderedPageBreak/>
        <w:t> Результаты расчета ИЗА по отдельному веществу представлены в таблице 2.</w:t>
      </w:r>
    </w:p>
    <w:p w:rsidR="00A152A0" w:rsidRDefault="00A152A0" w:rsidP="00A152A0">
      <w:pPr>
        <w:pStyle w:val="aa"/>
        <w:spacing w:before="0" w:beforeAutospacing="0" w:after="0" w:afterAutospacing="0"/>
        <w:ind w:firstLine="708"/>
        <w:jc w:val="both"/>
        <w:rPr>
          <w:color w:val="000000"/>
        </w:rPr>
      </w:pPr>
    </w:p>
    <w:p w:rsidR="00A152A0" w:rsidRDefault="00A152A0" w:rsidP="00A152A0">
      <w:pPr>
        <w:pStyle w:val="aa"/>
        <w:spacing w:before="0" w:beforeAutospacing="0" w:after="0" w:afterAutospacing="0"/>
        <w:ind w:firstLine="708"/>
        <w:jc w:val="center"/>
        <w:rPr>
          <w:color w:val="000000"/>
        </w:rPr>
      </w:pPr>
      <w:r>
        <w:rPr>
          <w:color w:val="000000"/>
        </w:rPr>
        <w:t>Таблица № 2. Индекс загрязнения атмосферы (ИЗА) по данным ПКЗ-1, ПКЗ-2 по каждому веществу</w:t>
      </w:r>
    </w:p>
    <w:tbl>
      <w:tblPr>
        <w:tblStyle w:val="a3"/>
        <w:tblW w:w="9931" w:type="dxa"/>
        <w:jc w:val="center"/>
        <w:tblLook w:val="04A0" w:firstRow="1" w:lastRow="0" w:firstColumn="1" w:lastColumn="0" w:noHBand="0" w:noVBand="1"/>
      </w:tblPr>
      <w:tblGrid>
        <w:gridCol w:w="1284"/>
        <w:gridCol w:w="709"/>
        <w:gridCol w:w="709"/>
        <w:gridCol w:w="709"/>
        <w:gridCol w:w="850"/>
        <w:gridCol w:w="709"/>
        <w:gridCol w:w="850"/>
        <w:gridCol w:w="851"/>
        <w:gridCol w:w="850"/>
        <w:gridCol w:w="709"/>
        <w:gridCol w:w="851"/>
        <w:gridCol w:w="850"/>
      </w:tblGrid>
      <w:tr w:rsidR="00A152A0" w:rsidTr="00A152A0">
        <w:trPr>
          <w:jc w:val="center"/>
        </w:trPr>
        <w:tc>
          <w:tcPr>
            <w:tcW w:w="1284" w:type="dxa"/>
            <w:hideMark/>
          </w:tcPr>
          <w:p w:rsidR="00A152A0" w:rsidRDefault="00A152A0" w:rsidP="00A152A0">
            <w:pPr>
              <w:pStyle w:val="aa"/>
              <w:shd w:val="clear" w:color="auto" w:fill="FFFFFF"/>
              <w:spacing w:before="0" w:beforeAutospacing="0" w:after="0" w:afterAutospacing="0"/>
              <w:jc w:val="center"/>
              <w:rPr>
                <w:color w:val="000000"/>
              </w:rPr>
            </w:pPr>
            <w:r>
              <w:rPr>
                <w:color w:val="000000"/>
              </w:rPr>
              <w:t>Вещество</w:t>
            </w:r>
          </w:p>
        </w:tc>
        <w:tc>
          <w:tcPr>
            <w:tcW w:w="709" w:type="dxa"/>
            <w:hideMark/>
          </w:tcPr>
          <w:p w:rsidR="00A152A0" w:rsidRDefault="00A152A0" w:rsidP="00A152A0">
            <w:pPr>
              <w:pStyle w:val="aa"/>
              <w:shd w:val="clear" w:color="auto" w:fill="FFFFFF"/>
              <w:spacing w:before="0" w:beforeAutospacing="0" w:after="0" w:afterAutospacing="0"/>
              <w:jc w:val="center"/>
              <w:rPr>
                <w:color w:val="000000"/>
              </w:rPr>
            </w:pPr>
            <w:r>
              <w:rPr>
                <w:color w:val="000000"/>
              </w:rPr>
              <w:t>С</w:t>
            </w:r>
            <w:proofErr w:type="gramStart"/>
            <w:r>
              <w:rPr>
                <w:color w:val="000000"/>
              </w:rPr>
              <w:t>H</w:t>
            </w:r>
            <w:proofErr w:type="gramEnd"/>
          </w:p>
        </w:tc>
        <w:tc>
          <w:tcPr>
            <w:tcW w:w="709" w:type="dxa"/>
            <w:hideMark/>
          </w:tcPr>
          <w:p w:rsidR="00A152A0" w:rsidRDefault="00A152A0" w:rsidP="00A152A0">
            <w:pPr>
              <w:pStyle w:val="aa"/>
              <w:shd w:val="clear" w:color="auto" w:fill="FFFFFF"/>
              <w:spacing w:before="0" w:beforeAutospacing="0" w:after="0" w:afterAutospacing="0"/>
              <w:jc w:val="center"/>
              <w:rPr>
                <w:color w:val="000000"/>
              </w:rPr>
            </w:pPr>
            <w:r>
              <w:rPr>
                <w:color w:val="000000"/>
              </w:rPr>
              <w:t>CH</w:t>
            </w:r>
            <w:r>
              <w:rPr>
                <w:color w:val="000000"/>
                <w:vertAlign w:val="subscript"/>
              </w:rPr>
              <w:t>4</w:t>
            </w:r>
          </w:p>
        </w:tc>
        <w:tc>
          <w:tcPr>
            <w:tcW w:w="709" w:type="dxa"/>
            <w:hideMark/>
          </w:tcPr>
          <w:p w:rsidR="00A152A0" w:rsidRDefault="00A152A0" w:rsidP="00A152A0">
            <w:pPr>
              <w:pStyle w:val="aa"/>
              <w:shd w:val="clear" w:color="auto" w:fill="FFFFFF"/>
              <w:spacing w:before="0" w:beforeAutospacing="0" w:after="0" w:afterAutospacing="0"/>
              <w:jc w:val="center"/>
              <w:rPr>
                <w:color w:val="000000"/>
              </w:rPr>
            </w:pPr>
            <w:proofErr w:type="spellStart"/>
            <w:r>
              <w:rPr>
                <w:color w:val="000000"/>
              </w:rPr>
              <w:t>CH</w:t>
            </w:r>
            <w:r>
              <w:rPr>
                <w:color w:val="000000"/>
                <w:vertAlign w:val="subscript"/>
              </w:rPr>
              <w:t>x</w:t>
            </w:r>
            <w:proofErr w:type="spellEnd"/>
          </w:p>
        </w:tc>
        <w:tc>
          <w:tcPr>
            <w:tcW w:w="850" w:type="dxa"/>
            <w:hideMark/>
          </w:tcPr>
          <w:p w:rsidR="00A152A0" w:rsidRDefault="00A152A0" w:rsidP="00A152A0">
            <w:pPr>
              <w:pStyle w:val="aa"/>
              <w:shd w:val="clear" w:color="auto" w:fill="FFFFFF"/>
              <w:spacing w:before="0" w:beforeAutospacing="0" w:after="0" w:afterAutospacing="0"/>
              <w:jc w:val="center"/>
              <w:rPr>
                <w:color w:val="000000"/>
              </w:rPr>
            </w:pPr>
            <w:r>
              <w:rPr>
                <w:color w:val="000000"/>
              </w:rPr>
              <w:t>CO</w:t>
            </w:r>
          </w:p>
        </w:tc>
        <w:tc>
          <w:tcPr>
            <w:tcW w:w="709" w:type="dxa"/>
            <w:hideMark/>
          </w:tcPr>
          <w:p w:rsidR="00A152A0" w:rsidRDefault="00A152A0" w:rsidP="00A152A0">
            <w:pPr>
              <w:pStyle w:val="aa"/>
              <w:shd w:val="clear" w:color="auto" w:fill="FFFFFF"/>
              <w:spacing w:before="0" w:beforeAutospacing="0" w:after="0" w:afterAutospacing="0"/>
              <w:jc w:val="center"/>
              <w:rPr>
                <w:color w:val="000000"/>
              </w:rPr>
            </w:pPr>
            <w:r>
              <w:rPr>
                <w:color w:val="000000"/>
              </w:rPr>
              <w:t>H</w:t>
            </w:r>
            <w:r>
              <w:rPr>
                <w:color w:val="000000"/>
                <w:vertAlign w:val="subscript"/>
              </w:rPr>
              <w:t>2</w:t>
            </w:r>
            <w:r>
              <w:rPr>
                <w:color w:val="000000"/>
              </w:rPr>
              <w:t>S</w:t>
            </w:r>
          </w:p>
        </w:tc>
        <w:tc>
          <w:tcPr>
            <w:tcW w:w="850" w:type="dxa"/>
            <w:hideMark/>
          </w:tcPr>
          <w:p w:rsidR="00A152A0" w:rsidRDefault="00A152A0" w:rsidP="00A152A0">
            <w:pPr>
              <w:pStyle w:val="aa"/>
              <w:shd w:val="clear" w:color="auto" w:fill="FFFFFF"/>
              <w:spacing w:before="0" w:beforeAutospacing="0" w:after="0" w:afterAutospacing="0"/>
              <w:jc w:val="center"/>
              <w:rPr>
                <w:color w:val="000000"/>
              </w:rPr>
            </w:pPr>
            <w:r>
              <w:rPr>
                <w:color w:val="000000"/>
              </w:rPr>
              <w:t>NH</w:t>
            </w:r>
            <w:r>
              <w:rPr>
                <w:color w:val="000000"/>
                <w:vertAlign w:val="subscript"/>
              </w:rPr>
              <w:t>3</w:t>
            </w:r>
          </w:p>
        </w:tc>
        <w:tc>
          <w:tcPr>
            <w:tcW w:w="851" w:type="dxa"/>
            <w:hideMark/>
          </w:tcPr>
          <w:p w:rsidR="00A152A0" w:rsidRDefault="00A152A0" w:rsidP="00A152A0">
            <w:pPr>
              <w:pStyle w:val="aa"/>
              <w:shd w:val="clear" w:color="auto" w:fill="FFFFFF"/>
              <w:spacing w:before="0" w:beforeAutospacing="0" w:after="0" w:afterAutospacing="0"/>
              <w:jc w:val="center"/>
              <w:rPr>
                <w:color w:val="000000"/>
              </w:rPr>
            </w:pPr>
            <w:r>
              <w:rPr>
                <w:color w:val="000000"/>
              </w:rPr>
              <w:t>NO</w:t>
            </w:r>
          </w:p>
        </w:tc>
        <w:tc>
          <w:tcPr>
            <w:tcW w:w="850" w:type="dxa"/>
            <w:hideMark/>
          </w:tcPr>
          <w:p w:rsidR="00A152A0" w:rsidRDefault="00A152A0" w:rsidP="00A152A0">
            <w:pPr>
              <w:pStyle w:val="aa"/>
              <w:shd w:val="clear" w:color="auto" w:fill="FFFFFF"/>
              <w:spacing w:before="0" w:beforeAutospacing="0" w:after="0" w:afterAutospacing="0"/>
              <w:jc w:val="center"/>
              <w:rPr>
                <w:color w:val="000000"/>
              </w:rPr>
            </w:pPr>
            <w:r>
              <w:rPr>
                <w:color w:val="000000"/>
              </w:rPr>
              <w:t>NO</w:t>
            </w:r>
            <w:r>
              <w:rPr>
                <w:color w:val="000000"/>
                <w:vertAlign w:val="subscript"/>
              </w:rPr>
              <w:t>2</w:t>
            </w:r>
          </w:p>
        </w:tc>
        <w:tc>
          <w:tcPr>
            <w:tcW w:w="709" w:type="dxa"/>
            <w:hideMark/>
          </w:tcPr>
          <w:p w:rsidR="00A152A0" w:rsidRDefault="00A152A0" w:rsidP="00A152A0">
            <w:pPr>
              <w:pStyle w:val="aa"/>
              <w:shd w:val="clear" w:color="auto" w:fill="FFFFFF"/>
              <w:spacing w:before="0" w:beforeAutospacing="0" w:after="0" w:afterAutospacing="0"/>
              <w:jc w:val="center"/>
              <w:rPr>
                <w:color w:val="000000"/>
              </w:rPr>
            </w:pPr>
            <w:proofErr w:type="spellStart"/>
            <w:r>
              <w:rPr>
                <w:color w:val="000000"/>
              </w:rPr>
              <w:t>NO</w:t>
            </w:r>
            <w:r>
              <w:rPr>
                <w:color w:val="000000"/>
                <w:vertAlign w:val="subscript"/>
              </w:rPr>
              <w:t>x</w:t>
            </w:r>
            <w:proofErr w:type="spellEnd"/>
          </w:p>
        </w:tc>
        <w:tc>
          <w:tcPr>
            <w:tcW w:w="851" w:type="dxa"/>
            <w:hideMark/>
          </w:tcPr>
          <w:p w:rsidR="00A152A0" w:rsidRDefault="00A152A0" w:rsidP="00A152A0">
            <w:pPr>
              <w:pStyle w:val="aa"/>
              <w:shd w:val="clear" w:color="auto" w:fill="FFFFFF"/>
              <w:spacing w:before="0" w:beforeAutospacing="0" w:after="0" w:afterAutospacing="0"/>
              <w:jc w:val="center"/>
              <w:rPr>
                <w:color w:val="000000"/>
              </w:rPr>
            </w:pPr>
            <w:r>
              <w:rPr>
                <w:color w:val="000000"/>
              </w:rPr>
              <w:t>SO</w:t>
            </w:r>
            <w:r>
              <w:rPr>
                <w:color w:val="000000"/>
                <w:vertAlign w:val="subscript"/>
              </w:rPr>
              <w:t>2</w:t>
            </w:r>
          </w:p>
        </w:tc>
        <w:tc>
          <w:tcPr>
            <w:tcW w:w="850" w:type="dxa"/>
            <w:hideMark/>
          </w:tcPr>
          <w:p w:rsidR="00A152A0" w:rsidRDefault="00A152A0" w:rsidP="00A152A0">
            <w:pPr>
              <w:pStyle w:val="aa"/>
              <w:shd w:val="clear" w:color="auto" w:fill="FFFFFF"/>
              <w:spacing w:before="0" w:beforeAutospacing="0" w:after="0" w:afterAutospacing="0"/>
              <w:jc w:val="center"/>
              <w:rPr>
                <w:color w:val="000000"/>
              </w:rPr>
            </w:pPr>
            <w:r>
              <w:rPr>
                <w:color w:val="000000"/>
              </w:rPr>
              <w:t>пыль</w:t>
            </w:r>
          </w:p>
        </w:tc>
      </w:tr>
      <w:tr w:rsidR="00A152A0" w:rsidTr="00A152A0">
        <w:trPr>
          <w:jc w:val="center"/>
        </w:trPr>
        <w:tc>
          <w:tcPr>
            <w:tcW w:w="1284" w:type="dxa"/>
            <w:hideMark/>
          </w:tcPr>
          <w:p w:rsidR="00A152A0" w:rsidRDefault="00A152A0" w:rsidP="00A152A0">
            <w:pPr>
              <w:pStyle w:val="aa"/>
              <w:shd w:val="clear" w:color="auto" w:fill="FFFFFF"/>
              <w:spacing w:before="0" w:beforeAutospacing="0" w:after="0" w:afterAutospacing="0"/>
              <w:jc w:val="center"/>
              <w:rPr>
                <w:color w:val="000000"/>
              </w:rPr>
            </w:pPr>
            <w:r>
              <w:rPr>
                <w:color w:val="000000"/>
              </w:rPr>
              <w:t>ИЗА</w:t>
            </w:r>
          </w:p>
        </w:tc>
        <w:tc>
          <w:tcPr>
            <w:tcW w:w="709" w:type="dxa"/>
            <w:hideMark/>
          </w:tcPr>
          <w:p w:rsidR="00A152A0" w:rsidRDefault="00A152A0" w:rsidP="00A152A0">
            <w:pPr>
              <w:pStyle w:val="aa"/>
              <w:shd w:val="clear" w:color="auto" w:fill="FFFFFF"/>
              <w:spacing w:before="0" w:beforeAutospacing="0" w:after="0" w:afterAutospacing="0"/>
              <w:jc w:val="center"/>
              <w:rPr>
                <w:color w:val="000000"/>
              </w:rPr>
            </w:pPr>
            <w:r>
              <w:rPr>
                <w:color w:val="000000"/>
              </w:rPr>
              <w:t>-</w:t>
            </w:r>
          </w:p>
        </w:tc>
        <w:tc>
          <w:tcPr>
            <w:tcW w:w="709" w:type="dxa"/>
            <w:hideMark/>
          </w:tcPr>
          <w:p w:rsidR="00A152A0" w:rsidRDefault="00A152A0" w:rsidP="00A152A0">
            <w:pPr>
              <w:pStyle w:val="aa"/>
              <w:shd w:val="clear" w:color="auto" w:fill="FFFFFF"/>
              <w:spacing w:before="0" w:beforeAutospacing="0" w:after="0" w:afterAutospacing="0"/>
              <w:jc w:val="center"/>
              <w:rPr>
                <w:color w:val="000000"/>
              </w:rPr>
            </w:pPr>
            <w:r>
              <w:rPr>
                <w:color w:val="000000"/>
              </w:rPr>
              <w:t>-</w:t>
            </w:r>
          </w:p>
        </w:tc>
        <w:tc>
          <w:tcPr>
            <w:tcW w:w="709" w:type="dxa"/>
            <w:hideMark/>
          </w:tcPr>
          <w:p w:rsidR="00A152A0" w:rsidRDefault="00A152A0" w:rsidP="00A152A0">
            <w:pPr>
              <w:pStyle w:val="aa"/>
              <w:shd w:val="clear" w:color="auto" w:fill="FFFFFF"/>
              <w:spacing w:before="0" w:beforeAutospacing="0" w:after="0" w:afterAutospacing="0"/>
              <w:jc w:val="center"/>
              <w:rPr>
                <w:color w:val="000000"/>
              </w:rPr>
            </w:pPr>
            <w:r>
              <w:rPr>
                <w:color w:val="000000"/>
              </w:rPr>
              <w:t>-</w:t>
            </w:r>
          </w:p>
        </w:tc>
        <w:tc>
          <w:tcPr>
            <w:tcW w:w="850" w:type="dxa"/>
            <w:hideMark/>
          </w:tcPr>
          <w:p w:rsidR="00A152A0" w:rsidRDefault="00A152A0" w:rsidP="00A152A0">
            <w:pPr>
              <w:pStyle w:val="aa"/>
              <w:shd w:val="clear" w:color="auto" w:fill="FFFFFF"/>
              <w:spacing w:before="0" w:beforeAutospacing="0" w:after="0" w:afterAutospacing="0"/>
              <w:jc w:val="center"/>
              <w:rPr>
                <w:color w:val="000000"/>
              </w:rPr>
            </w:pPr>
            <w:r>
              <w:rPr>
                <w:color w:val="000000"/>
              </w:rPr>
              <w:t>0,314</w:t>
            </w:r>
          </w:p>
        </w:tc>
        <w:tc>
          <w:tcPr>
            <w:tcW w:w="709" w:type="dxa"/>
            <w:hideMark/>
          </w:tcPr>
          <w:p w:rsidR="00A152A0" w:rsidRDefault="00A152A0" w:rsidP="00A152A0">
            <w:pPr>
              <w:pStyle w:val="aa"/>
              <w:shd w:val="clear" w:color="auto" w:fill="FFFFFF"/>
              <w:spacing w:before="0" w:beforeAutospacing="0" w:after="0" w:afterAutospacing="0"/>
              <w:jc w:val="center"/>
              <w:rPr>
                <w:color w:val="000000"/>
              </w:rPr>
            </w:pPr>
            <w:r>
              <w:rPr>
                <w:color w:val="000000"/>
              </w:rPr>
              <w:t>-</w:t>
            </w:r>
          </w:p>
        </w:tc>
        <w:tc>
          <w:tcPr>
            <w:tcW w:w="850" w:type="dxa"/>
            <w:hideMark/>
          </w:tcPr>
          <w:p w:rsidR="00A152A0" w:rsidRDefault="00A152A0" w:rsidP="00A152A0">
            <w:pPr>
              <w:pStyle w:val="aa"/>
              <w:shd w:val="clear" w:color="auto" w:fill="FFFFFF"/>
              <w:spacing w:before="0" w:beforeAutospacing="0" w:after="0" w:afterAutospacing="0"/>
              <w:jc w:val="center"/>
              <w:rPr>
                <w:color w:val="000000"/>
              </w:rPr>
            </w:pPr>
            <w:r>
              <w:rPr>
                <w:color w:val="000000"/>
              </w:rPr>
              <w:t>0,093</w:t>
            </w:r>
          </w:p>
        </w:tc>
        <w:tc>
          <w:tcPr>
            <w:tcW w:w="851" w:type="dxa"/>
            <w:hideMark/>
          </w:tcPr>
          <w:p w:rsidR="00A152A0" w:rsidRDefault="00A152A0" w:rsidP="00A152A0">
            <w:pPr>
              <w:pStyle w:val="aa"/>
              <w:shd w:val="clear" w:color="auto" w:fill="FFFFFF"/>
              <w:spacing w:before="0" w:beforeAutospacing="0" w:after="0" w:afterAutospacing="0"/>
              <w:jc w:val="center"/>
              <w:rPr>
                <w:color w:val="000000"/>
              </w:rPr>
            </w:pPr>
            <w:r>
              <w:rPr>
                <w:color w:val="000000"/>
              </w:rPr>
              <w:t>0,286</w:t>
            </w:r>
          </w:p>
        </w:tc>
        <w:tc>
          <w:tcPr>
            <w:tcW w:w="850" w:type="dxa"/>
            <w:hideMark/>
          </w:tcPr>
          <w:p w:rsidR="00A152A0" w:rsidRDefault="00A152A0" w:rsidP="00A152A0">
            <w:pPr>
              <w:pStyle w:val="aa"/>
              <w:shd w:val="clear" w:color="auto" w:fill="FFFFFF"/>
              <w:spacing w:before="0" w:beforeAutospacing="0" w:after="0" w:afterAutospacing="0"/>
              <w:jc w:val="center"/>
              <w:rPr>
                <w:color w:val="000000"/>
              </w:rPr>
            </w:pPr>
            <w:r>
              <w:rPr>
                <w:color w:val="000000"/>
              </w:rPr>
              <w:t>0,598</w:t>
            </w:r>
          </w:p>
        </w:tc>
        <w:tc>
          <w:tcPr>
            <w:tcW w:w="709" w:type="dxa"/>
            <w:hideMark/>
          </w:tcPr>
          <w:p w:rsidR="00A152A0" w:rsidRDefault="00A152A0" w:rsidP="00A152A0">
            <w:pPr>
              <w:pStyle w:val="aa"/>
              <w:shd w:val="clear" w:color="auto" w:fill="FFFFFF"/>
              <w:spacing w:before="0" w:beforeAutospacing="0" w:after="0" w:afterAutospacing="0"/>
              <w:jc w:val="center"/>
              <w:rPr>
                <w:color w:val="000000"/>
              </w:rPr>
            </w:pPr>
            <w:r>
              <w:rPr>
                <w:color w:val="000000"/>
              </w:rPr>
              <w:t>-</w:t>
            </w:r>
          </w:p>
        </w:tc>
        <w:tc>
          <w:tcPr>
            <w:tcW w:w="851" w:type="dxa"/>
            <w:hideMark/>
          </w:tcPr>
          <w:p w:rsidR="00A152A0" w:rsidRDefault="00A152A0" w:rsidP="00A152A0">
            <w:pPr>
              <w:pStyle w:val="aa"/>
              <w:shd w:val="clear" w:color="auto" w:fill="FFFFFF"/>
              <w:spacing w:before="0" w:beforeAutospacing="0" w:after="0" w:afterAutospacing="0"/>
              <w:jc w:val="center"/>
              <w:rPr>
                <w:color w:val="000000"/>
              </w:rPr>
            </w:pPr>
            <w:r>
              <w:rPr>
                <w:color w:val="000000"/>
              </w:rPr>
              <w:t>0,059</w:t>
            </w:r>
          </w:p>
        </w:tc>
        <w:tc>
          <w:tcPr>
            <w:tcW w:w="850" w:type="dxa"/>
            <w:hideMark/>
          </w:tcPr>
          <w:p w:rsidR="00A152A0" w:rsidRDefault="00A152A0" w:rsidP="00A152A0">
            <w:pPr>
              <w:pStyle w:val="aa"/>
              <w:shd w:val="clear" w:color="auto" w:fill="FFFFFF"/>
              <w:spacing w:before="0" w:beforeAutospacing="0" w:after="0" w:afterAutospacing="0"/>
              <w:jc w:val="center"/>
              <w:rPr>
                <w:color w:val="000000"/>
              </w:rPr>
            </w:pPr>
            <w:r>
              <w:rPr>
                <w:color w:val="000000"/>
              </w:rPr>
              <w:t>0,092</w:t>
            </w:r>
          </w:p>
        </w:tc>
      </w:tr>
    </w:tbl>
    <w:p w:rsidR="00A152A0" w:rsidRDefault="00A152A0" w:rsidP="00A152A0">
      <w:pPr>
        <w:pStyle w:val="aa"/>
        <w:spacing w:before="0" w:beforeAutospacing="0" w:after="0" w:afterAutospacing="0"/>
        <w:ind w:firstLine="708"/>
        <w:jc w:val="both"/>
        <w:rPr>
          <w:color w:val="000000"/>
        </w:rPr>
      </w:pPr>
    </w:p>
    <w:p w:rsidR="00A152A0" w:rsidRDefault="00A152A0" w:rsidP="00A152A0">
      <w:pPr>
        <w:pStyle w:val="aa"/>
        <w:spacing w:before="0" w:beforeAutospacing="0" w:after="0" w:afterAutospacing="0"/>
        <w:ind w:firstLine="708"/>
        <w:jc w:val="both"/>
        <w:rPr>
          <w:color w:val="000000"/>
        </w:rPr>
      </w:pPr>
      <w:r>
        <w:rPr>
          <w:color w:val="000000"/>
        </w:rPr>
        <w:t> Проведенный анализ данных с ПКЗ-1, ПКЗ-2 показал, что:</w:t>
      </w:r>
    </w:p>
    <w:p w:rsidR="00A152A0" w:rsidRDefault="00A152A0" w:rsidP="00A152A0">
      <w:pPr>
        <w:pStyle w:val="aa"/>
        <w:spacing w:before="0" w:beforeAutospacing="0" w:after="0" w:afterAutospacing="0"/>
        <w:ind w:firstLine="708"/>
        <w:jc w:val="both"/>
        <w:rPr>
          <w:color w:val="000000"/>
        </w:rPr>
      </w:pPr>
      <w:r>
        <w:rPr>
          <w:color w:val="000000"/>
        </w:rPr>
        <w:t xml:space="preserve"> — анализов, превышающих ПДК </w:t>
      </w:r>
      <w:proofErr w:type="spellStart"/>
      <w:r>
        <w:rPr>
          <w:color w:val="000000"/>
        </w:rPr>
        <w:t>м.р</w:t>
      </w:r>
      <w:proofErr w:type="spellEnd"/>
      <w:r>
        <w:rPr>
          <w:color w:val="000000"/>
        </w:rPr>
        <w:t>. (максимально разовая предельно допустимая концентрация) на ПКЗ не выявлено;</w:t>
      </w:r>
    </w:p>
    <w:p w:rsidR="00A152A0" w:rsidRDefault="00A152A0" w:rsidP="00A152A0">
      <w:pPr>
        <w:pStyle w:val="aa"/>
        <w:spacing w:before="0" w:beforeAutospacing="0" w:after="0" w:afterAutospacing="0"/>
        <w:ind w:firstLine="708"/>
        <w:jc w:val="both"/>
        <w:rPr>
          <w:color w:val="000000"/>
        </w:rPr>
      </w:pPr>
      <w:r>
        <w:rPr>
          <w:color w:val="000000"/>
        </w:rPr>
        <w:t> — комплексный индекс загрязнения атмосферы (КИЗА) на ПКЗ по 5 основным загрязняющим веществам составляет 1,4, в районах расположения ПКЗ отмечается низкий уровень загрязнения атмосферного воздуха.</w:t>
      </w:r>
    </w:p>
    <w:p w:rsidR="00FA31F3" w:rsidRPr="00FD67E8" w:rsidRDefault="00FA31F3" w:rsidP="00A152A0">
      <w:pPr>
        <w:tabs>
          <w:tab w:val="left" w:pos="567"/>
        </w:tabs>
        <w:jc w:val="both"/>
        <w:rPr>
          <w:i/>
          <w:sz w:val="24"/>
          <w:szCs w:val="24"/>
        </w:rPr>
      </w:pPr>
    </w:p>
    <w:p w:rsidR="002906FA" w:rsidRDefault="002906FA" w:rsidP="00584E41">
      <w:pPr>
        <w:spacing w:line="360" w:lineRule="auto"/>
        <w:jc w:val="center"/>
        <w:rPr>
          <w:b/>
          <w:i/>
          <w:sz w:val="24"/>
          <w:szCs w:val="24"/>
        </w:rPr>
      </w:pPr>
    </w:p>
    <w:p w:rsidR="002906FA" w:rsidRDefault="002906FA" w:rsidP="00584E41">
      <w:pPr>
        <w:spacing w:line="360" w:lineRule="auto"/>
        <w:jc w:val="center"/>
        <w:rPr>
          <w:b/>
          <w:i/>
          <w:sz w:val="24"/>
          <w:szCs w:val="24"/>
        </w:rPr>
      </w:pPr>
    </w:p>
    <w:p w:rsidR="00584E41" w:rsidRPr="008B08D9" w:rsidRDefault="00584E41" w:rsidP="00584E41">
      <w:pPr>
        <w:spacing w:line="360" w:lineRule="auto"/>
        <w:jc w:val="center"/>
        <w:rPr>
          <w:b/>
          <w:i/>
          <w:color w:val="FF0000"/>
          <w:sz w:val="24"/>
          <w:szCs w:val="24"/>
        </w:rPr>
      </w:pPr>
      <w:r w:rsidRPr="008B08D9">
        <w:rPr>
          <w:b/>
          <w:i/>
          <w:sz w:val="24"/>
          <w:szCs w:val="24"/>
        </w:rPr>
        <w:t xml:space="preserve">Ход выполнения </w:t>
      </w:r>
      <w:r w:rsidR="00A62AD3" w:rsidRPr="008B08D9">
        <w:rPr>
          <w:b/>
          <w:i/>
          <w:sz w:val="24"/>
          <w:szCs w:val="24"/>
        </w:rPr>
        <w:t>государственного задания</w:t>
      </w:r>
      <w:r w:rsidRPr="008B08D9">
        <w:rPr>
          <w:b/>
          <w:i/>
          <w:sz w:val="24"/>
          <w:szCs w:val="24"/>
        </w:rPr>
        <w:t xml:space="preserve"> ГБУ КК «КИАЦЭМ»</w:t>
      </w:r>
      <w:r w:rsidR="00A62AD3" w:rsidRPr="008B08D9">
        <w:rPr>
          <w:b/>
          <w:i/>
          <w:sz w:val="24"/>
          <w:szCs w:val="24"/>
        </w:rPr>
        <w:t xml:space="preserve"> на 2013 год</w:t>
      </w:r>
    </w:p>
    <w:p w:rsidR="0089274D" w:rsidRPr="008B08D9" w:rsidRDefault="00814644" w:rsidP="009F2D65">
      <w:pPr>
        <w:shd w:val="clear" w:color="auto" w:fill="FFFFFF"/>
        <w:tabs>
          <w:tab w:val="left" w:leader="dot" w:pos="-3969"/>
        </w:tabs>
        <w:ind w:firstLine="851"/>
        <w:jc w:val="both"/>
        <w:textAlignment w:val="baseline"/>
        <w:rPr>
          <w:sz w:val="24"/>
          <w:szCs w:val="24"/>
        </w:rPr>
      </w:pPr>
      <w:r w:rsidRPr="008B08D9">
        <w:rPr>
          <w:sz w:val="24"/>
          <w:szCs w:val="24"/>
        </w:rPr>
        <w:t>В соответствии с государственным заданием (приказ Министерства природных ресурсов и лесного хозяйства Краснодарского края от 29 декабря 2012 года № 402 «Об утверждении государственного задания государственного бюджетного учреждения Краснодарского края «КИАЦЭМ» на 2013 год и плановый период 2014 - 2015 годы»), и в рамках выполнения государственной работы: «Техническое, информационное обеспечение и сопровождение функционирования единой территориальной системы экологического мониторинга (ЕТСЭМ) Краснодарского края», ГБУ КК «КИАЦЭМ» в</w:t>
      </w:r>
      <w:r w:rsidR="00344AB6" w:rsidRPr="008B08D9">
        <w:rPr>
          <w:sz w:val="24"/>
          <w:szCs w:val="24"/>
        </w:rPr>
        <w:t xml:space="preserve"> </w:t>
      </w:r>
      <w:r w:rsidR="00A152A0">
        <w:rPr>
          <w:sz w:val="24"/>
          <w:szCs w:val="24"/>
        </w:rPr>
        <w:t>октябре</w:t>
      </w:r>
      <w:r w:rsidRPr="008B08D9">
        <w:rPr>
          <w:sz w:val="24"/>
          <w:szCs w:val="24"/>
        </w:rPr>
        <w:t xml:space="preserve"> 2013 года проведен комплекс мероприятий по</w:t>
      </w:r>
      <w:r w:rsidR="0089274D" w:rsidRPr="008B08D9">
        <w:rPr>
          <w:sz w:val="24"/>
          <w:szCs w:val="24"/>
        </w:rPr>
        <w:t xml:space="preserve"> мониторинг</w:t>
      </w:r>
      <w:r w:rsidRPr="008B08D9">
        <w:rPr>
          <w:sz w:val="24"/>
          <w:szCs w:val="24"/>
        </w:rPr>
        <w:t>у</w:t>
      </w:r>
      <w:r w:rsidR="0089274D" w:rsidRPr="008B08D9">
        <w:rPr>
          <w:sz w:val="24"/>
          <w:szCs w:val="24"/>
        </w:rPr>
        <w:t xml:space="preserve"> загрязнения атмосферного воздуха</w:t>
      </w:r>
      <w:r w:rsidRPr="008B08D9">
        <w:rPr>
          <w:sz w:val="24"/>
          <w:szCs w:val="24"/>
        </w:rPr>
        <w:t>,</w:t>
      </w:r>
      <w:r w:rsidR="0089274D" w:rsidRPr="008B08D9">
        <w:rPr>
          <w:sz w:val="24"/>
          <w:szCs w:val="24"/>
        </w:rPr>
        <w:t xml:space="preserve"> мониторинг</w:t>
      </w:r>
      <w:r w:rsidRPr="008B08D9">
        <w:rPr>
          <w:sz w:val="24"/>
          <w:szCs w:val="24"/>
        </w:rPr>
        <w:t>у</w:t>
      </w:r>
      <w:r w:rsidR="0089274D" w:rsidRPr="008B08D9">
        <w:rPr>
          <w:sz w:val="24"/>
          <w:szCs w:val="24"/>
        </w:rPr>
        <w:t xml:space="preserve"> экологического состояния </w:t>
      </w:r>
      <w:r w:rsidR="009474CE" w:rsidRPr="008B08D9">
        <w:rPr>
          <w:sz w:val="24"/>
          <w:szCs w:val="24"/>
        </w:rPr>
        <w:t xml:space="preserve">водных </w:t>
      </w:r>
      <w:r w:rsidR="00A85C71" w:rsidRPr="008B08D9">
        <w:rPr>
          <w:sz w:val="24"/>
          <w:szCs w:val="24"/>
        </w:rPr>
        <w:t>объектов края</w:t>
      </w:r>
      <w:r w:rsidRPr="008B08D9">
        <w:rPr>
          <w:sz w:val="24"/>
          <w:szCs w:val="24"/>
        </w:rPr>
        <w:t>.</w:t>
      </w:r>
    </w:p>
    <w:p w:rsidR="008B08D9" w:rsidRDefault="008B08D9" w:rsidP="008B08D9">
      <w:pPr>
        <w:pStyle w:val="a9"/>
        <w:numPr>
          <w:ilvl w:val="0"/>
          <w:numId w:val="14"/>
        </w:numPr>
        <w:spacing w:after="0" w:line="228" w:lineRule="auto"/>
        <w:contextualSpacing/>
        <w:rPr>
          <w:rFonts w:ascii="Times New Roman" w:hAnsi="Times New Roman" w:cs="Times New Roman"/>
          <w:sz w:val="24"/>
          <w:szCs w:val="24"/>
        </w:rPr>
      </w:pPr>
      <w:r>
        <w:rPr>
          <w:rFonts w:ascii="Times New Roman" w:hAnsi="Times New Roman" w:cs="Times New Roman"/>
          <w:sz w:val="24"/>
          <w:szCs w:val="24"/>
        </w:rPr>
        <w:t xml:space="preserve">осуществлен </w:t>
      </w:r>
      <w:r>
        <w:rPr>
          <w:rFonts w:ascii="Times New Roman" w:hAnsi="Times New Roman" w:cs="Times New Roman"/>
          <w:sz w:val="24"/>
          <w:szCs w:val="24"/>
          <w:u w:val="single"/>
        </w:rPr>
        <w:t>контроль качества атмосферного воздуха:</w:t>
      </w:r>
    </w:p>
    <w:p w:rsidR="00A152A0" w:rsidRDefault="00A152A0" w:rsidP="00A152A0">
      <w:pPr>
        <w:pStyle w:val="a9"/>
        <w:spacing w:after="0" w:line="240" w:lineRule="auto"/>
        <w:ind w:left="0" w:firstLine="708"/>
        <w:rPr>
          <w:rFonts w:ascii="Times New Roman" w:hAnsi="Times New Roman" w:cs="Times New Roman"/>
          <w:sz w:val="24"/>
          <w:szCs w:val="24"/>
        </w:rPr>
      </w:pPr>
      <w:r>
        <w:rPr>
          <w:rFonts w:ascii="Times New Roman" w:hAnsi="Times New Roman" w:cs="Times New Roman"/>
          <w:sz w:val="24"/>
          <w:szCs w:val="24"/>
        </w:rPr>
        <w:t xml:space="preserve">в городе Новороссийске в 4-х установленных точках: </w:t>
      </w:r>
    </w:p>
    <w:p w:rsidR="00A152A0" w:rsidRDefault="00A152A0" w:rsidP="00A152A0">
      <w:pPr>
        <w:pStyle w:val="a9"/>
        <w:spacing w:after="0" w:line="240" w:lineRule="auto"/>
        <w:ind w:left="714"/>
        <w:rPr>
          <w:rFonts w:ascii="Times New Roman" w:hAnsi="Times New Roman" w:cs="Times New Roman"/>
          <w:sz w:val="24"/>
          <w:szCs w:val="24"/>
        </w:rPr>
      </w:pPr>
      <w:r>
        <w:rPr>
          <w:rFonts w:ascii="Times New Roman" w:hAnsi="Times New Roman" w:cs="Times New Roman"/>
          <w:sz w:val="24"/>
          <w:szCs w:val="24"/>
        </w:rPr>
        <w:t>•Точка №  1</w:t>
      </w:r>
      <w:r>
        <w:rPr>
          <w:rFonts w:ascii="Times New Roman" w:hAnsi="Times New Roman" w:cs="Times New Roman"/>
          <w:b/>
          <w:sz w:val="24"/>
          <w:szCs w:val="24"/>
        </w:rPr>
        <w:t>-</w:t>
      </w:r>
      <w:r>
        <w:rPr>
          <w:rFonts w:ascii="Times New Roman" w:hAnsi="Times New Roman" w:cs="Times New Roman"/>
          <w:sz w:val="24"/>
          <w:szCs w:val="24"/>
        </w:rPr>
        <w:t xml:space="preserve"> Парк</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ж/д петля. </w:t>
      </w:r>
      <w:proofErr w:type="gramStart"/>
      <w:r>
        <w:rPr>
          <w:rFonts w:ascii="Times New Roman" w:hAnsi="Times New Roman" w:cs="Times New Roman"/>
          <w:sz w:val="24"/>
          <w:szCs w:val="24"/>
        </w:rPr>
        <w:t>ООО «</w:t>
      </w:r>
      <w:proofErr w:type="spellStart"/>
      <w:r>
        <w:rPr>
          <w:rFonts w:ascii="Times New Roman" w:hAnsi="Times New Roman" w:cs="Times New Roman"/>
          <w:sz w:val="24"/>
          <w:szCs w:val="24"/>
        </w:rPr>
        <w:t>Новоросметалл</w:t>
      </w:r>
      <w:proofErr w:type="spellEnd"/>
      <w:r>
        <w:rPr>
          <w:rFonts w:ascii="Times New Roman" w:hAnsi="Times New Roman" w:cs="Times New Roman"/>
          <w:sz w:val="24"/>
          <w:szCs w:val="24"/>
        </w:rPr>
        <w:t>»  (координаты:</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 xml:space="preserve"> 44°</w:t>
      </w:r>
      <w:proofErr w:type="gramStart"/>
      <w:r>
        <w:rPr>
          <w:rFonts w:ascii="Times New Roman" w:hAnsi="Times New Roman" w:cs="Times New Roman"/>
          <w:sz w:val="24"/>
          <w:szCs w:val="24"/>
        </w:rPr>
        <w:t>45'32.46''  Е</w:t>
      </w:r>
      <w:proofErr w:type="gramEnd"/>
      <w:r>
        <w:rPr>
          <w:rFonts w:ascii="Times New Roman" w:hAnsi="Times New Roman" w:cs="Times New Roman"/>
          <w:sz w:val="24"/>
          <w:szCs w:val="24"/>
        </w:rPr>
        <w:t xml:space="preserve"> 37°44'19.29'')</w:t>
      </w:r>
    </w:p>
    <w:p w:rsidR="00A152A0" w:rsidRDefault="00A152A0" w:rsidP="00A152A0">
      <w:pPr>
        <w:pStyle w:val="a9"/>
        <w:spacing w:after="0" w:line="240" w:lineRule="auto"/>
        <w:ind w:left="714"/>
        <w:rPr>
          <w:rFonts w:ascii="Times New Roman" w:hAnsi="Times New Roman" w:cs="Times New Roman"/>
          <w:sz w:val="24"/>
          <w:szCs w:val="24"/>
        </w:rPr>
      </w:pPr>
      <w:r>
        <w:rPr>
          <w:rFonts w:ascii="Times New Roman" w:hAnsi="Times New Roman" w:cs="Times New Roman"/>
          <w:sz w:val="24"/>
          <w:szCs w:val="24"/>
        </w:rPr>
        <w:t>•Точка №  2- ул. Ревельская,2. ЗАО «Новороссийский завод «Красный двигатель»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оординаты: </w:t>
      </w:r>
      <w:r>
        <w:rPr>
          <w:rFonts w:ascii="Times New Roman" w:hAnsi="Times New Roman" w:cs="Times New Roman"/>
          <w:sz w:val="24"/>
          <w:szCs w:val="24"/>
          <w:lang w:val="en-US"/>
        </w:rPr>
        <w:t>N</w:t>
      </w:r>
      <w:r w:rsidRPr="00A152A0">
        <w:rPr>
          <w:rFonts w:ascii="Times New Roman" w:hAnsi="Times New Roman" w:cs="Times New Roman"/>
          <w:sz w:val="24"/>
          <w:szCs w:val="24"/>
        </w:rPr>
        <w:t xml:space="preserve"> </w:t>
      </w:r>
      <w:r>
        <w:rPr>
          <w:rFonts w:ascii="Times New Roman" w:hAnsi="Times New Roman" w:cs="Times New Roman"/>
          <w:sz w:val="24"/>
          <w:szCs w:val="24"/>
        </w:rPr>
        <w:t>44°</w:t>
      </w:r>
      <w:proofErr w:type="gramStart"/>
      <w:r>
        <w:rPr>
          <w:rFonts w:ascii="Times New Roman" w:hAnsi="Times New Roman" w:cs="Times New Roman"/>
          <w:sz w:val="24"/>
          <w:szCs w:val="24"/>
        </w:rPr>
        <w:t>44'21.64''  Е</w:t>
      </w:r>
      <w:proofErr w:type="gramEnd"/>
      <w:r>
        <w:rPr>
          <w:rFonts w:ascii="Times New Roman" w:hAnsi="Times New Roman" w:cs="Times New Roman"/>
          <w:sz w:val="24"/>
          <w:szCs w:val="24"/>
        </w:rPr>
        <w:t xml:space="preserve"> 37°47'35.62'')</w:t>
      </w:r>
    </w:p>
    <w:p w:rsidR="00A152A0" w:rsidRDefault="00A152A0" w:rsidP="00A152A0">
      <w:pPr>
        <w:pStyle w:val="a9"/>
        <w:spacing w:after="0" w:line="240" w:lineRule="auto"/>
        <w:ind w:left="714"/>
        <w:rPr>
          <w:rFonts w:ascii="Times New Roman" w:hAnsi="Times New Roman" w:cs="Times New Roman"/>
          <w:sz w:val="24"/>
          <w:szCs w:val="24"/>
        </w:rPr>
      </w:pPr>
      <w:r>
        <w:rPr>
          <w:rFonts w:ascii="Times New Roman" w:hAnsi="Times New Roman" w:cs="Times New Roman"/>
          <w:sz w:val="24"/>
          <w:szCs w:val="24"/>
        </w:rPr>
        <w:t>•Точка №  3</w:t>
      </w:r>
      <w:r>
        <w:rPr>
          <w:rFonts w:ascii="Times New Roman" w:hAnsi="Times New Roman" w:cs="Times New Roman"/>
          <w:b/>
          <w:sz w:val="24"/>
          <w:szCs w:val="24"/>
        </w:rPr>
        <w:t xml:space="preserve"> </w:t>
      </w:r>
      <w:r>
        <w:rPr>
          <w:rFonts w:ascii="Times New Roman" w:hAnsi="Times New Roman" w:cs="Times New Roman"/>
          <w:sz w:val="24"/>
          <w:szCs w:val="24"/>
        </w:rPr>
        <w:t>- ул. Щорса - ул. Ломоносовская. Селитебная зона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оординаты: </w:t>
      </w:r>
      <w:r>
        <w:rPr>
          <w:rFonts w:ascii="Times New Roman" w:hAnsi="Times New Roman" w:cs="Times New Roman"/>
          <w:sz w:val="24"/>
          <w:szCs w:val="24"/>
          <w:lang w:val="en-US"/>
        </w:rPr>
        <w:t>N</w:t>
      </w:r>
      <w:r>
        <w:rPr>
          <w:rFonts w:ascii="Times New Roman" w:hAnsi="Times New Roman" w:cs="Times New Roman"/>
          <w:sz w:val="24"/>
          <w:szCs w:val="24"/>
        </w:rPr>
        <w:t xml:space="preserve"> 44°</w:t>
      </w:r>
      <w:proofErr w:type="gramStart"/>
      <w:r>
        <w:rPr>
          <w:rFonts w:ascii="Times New Roman" w:hAnsi="Times New Roman" w:cs="Times New Roman"/>
          <w:sz w:val="24"/>
          <w:szCs w:val="24"/>
        </w:rPr>
        <w:t>43'08.88''  Е</w:t>
      </w:r>
      <w:proofErr w:type="gramEnd"/>
      <w:r>
        <w:rPr>
          <w:rFonts w:ascii="Times New Roman" w:hAnsi="Times New Roman" w:cs="Times New Roman"/>
          <w:sz w:val="24"/>
          <w:szCs w:val="24"/>
        </w:rPr>
        <w:t xml:space="preserve"> 37°45'11.46'')</w:t>
      </w:r>
    </w:p>
    <w:p w:rsidR="00A152A0" w:rsidRDefault="00A152A0" w:rsidP="00A152A0">
      <w:pPr>
        <w:pStyle w:val="a9"/>
        <w:spacing w:after="0" w:line="240" w:lineRule="auto"/>
        <w:ind w:left="714"/>
        <w:rPr>
          <w:rFonts w:ascii="Times New Roman" w:hAnsi="Times New Roman" w:cs="Times New Roman"/>
          <w:sz w:val="24"/>
          <w:szCs w:val="24"/>
        </w:rPr>
      </w:pPr>
      <w:r>
        <w:rPr>
          <w:rFonts w:ascii="Times New Roman" w:hAnsi="Times New Roman" w:cs="Times New Roman"/>
          <w:sz w:val="24"/>
          <w:szCs w:val="24"/>
        </w:rPr>
        <w:t>•Точка №  4</w:t>
      </w:r>
      <w:r>
        <w:rPr>
          <w:rFonts w:ascii="Times New Roman" w:hAnsi="Times New Roman" w:cs="Times New Roman"/>
          <w:b/>
          <w:sz w:val="24"/>
          <w:szCs w:val="24"/>
        </w:rPr>
        <w:t xml:space="preserve"> </w:t>
      </w:r>
      <w:r>
        <w:rPr>
          <w:rFonts w:ascii="Times New Roman" w:hAnsi="Times New Roman" w:cs="Times New Roman"/>
          <w:sz w:val="24"/>
          <w:szCs w:val="24"/>
        </w:rPr>
        <w:t xml:space="preserve">- ул. Магистральная - ул. </w:t>
      </w:r>
      <w:proofErr w:type="spellStart"/>
      <w:r>
        <w:rPr>
          <w:rFonts w:ascii="Times New Roman" w:hAnsi="Times New Roman" w:cs="Times New Roman"/>
          <w:sz w:val="24"/>
          <w:szCs w:val="24"/>
        </w:rPr>
        <w:t>Анапское</w:t>
      </w:r>
      <w:proofErr w:type="spellEnd"/>
      <w:r>
        <w:rPr>
          <w:rFonts w:ascii="Times New Roman" w:hAnsi="Times New Roman" w:cs="Times New Roman"/>
          <w:sz w:val="24"/>
          <w:szCs w:val="24"/>
        </w:rPr>
        <w:t xml:space="preserve"> шоссе. Транспортная развязка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оординаты: </w:t>
      </w:r>
      <w:r>
        <w:rPr>
          <w:rFonts w:ascii="Times New Roman" w:hAnsi="Times New Roman" w:cs="Times New Roman"/>
          <w:sz w:val="24"/>
          <w:szCs w:val="24"/>
          <w:lang w:val="en-US"/>
        </w:rPr>
        <w:t>N</w:t>
      </w:r>
      <w:r>
        <w:rPr>
          <w:rFonts w:ascii="Times New Roman" w:hAnsi="Times New Roman" w:cs="Times New Roman"/>
          <w:sz w:val="24"/>
          <w:szCs w:val="24"/>
        </w:rPr>
        <w:t xml:space="preserve"> 44°</w:t>
      </w:r>
      <w:proofErr w:type="gramStart"/>
      <w:r>
        <w:rPr>
          <w:rFonts w:ascii="Times New Roman" w:hAnsi="Times New Roman" w:cs="Times New Roman"/>
          <w:sz w:val="24"/>
          <w:szCs w:val="24"/>
        </w:rPr>
        <w:t>43'33.80''  Е</w:t>
      </w:r>
      <w:proofErr w:type="gramEnd"/>
      <w:r>
        <w:rPr>
          <w:rFonts w:ascii="Times New Roman" w:hAnsi="Times New Roman" w:cs="Times New Roman"/>
          <w:sz w:val="24"/>
          <w:szCs w:val="24"/>
        </w:rPr>
        <w:t xml:space="preserve"> 37°45'51.97'')</w:t>
      </w:r>
    </w:p>
    <w:p w:rsidR="00A152A0" w:rsidRDefault="00A152A0" w:rsidP="00A152A0">
      <w:pPr>
        <w:pStyle w:val="a9"/>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в городе Туапсе в 6-ти установленных точках: </w:t>
      </w:r>
    </w:p>
    <w:p w:rsidR="00A152A0" w:rsidRDefault="00A152A0" w:rsidP="00A152A0">
      <w:pPr>
        <w:pStyle w:val="a9"/>
        <w:numPr>
          <w:ilvl w:val="0"/>
          <w:numId w:val="19"/>
        </w:num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Точка № 1 - ул. Сочинская, 1 ОАО «Роснефть-Туапсинский НПЗ» (координаты:</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 xml:space="preserve"> 44</w:t>
      </w:r>
      <w:r>
        <w:rPr>
          <w:rFonts w:ascii="Times New Roman" w:hAnsi="Times New Roman" w:cs="Times New Roman"/>
          <w:sz w:val="24"/>
          <w:szCs w:val="24"/>
          <w:vertAlign w:val="superscript"/>
        </w:rPr>
        <w:t>0</w:t>
      </w:r>
      <w:r>
        <w:rPr>
          <w:rFonts w:ascii="Times New Roman" w:hAnsi="Times New Roman" w:cs="Times New Roman"/>
          <w:sz w:val="24"/>
          <w:szCs w:val="24"/>
        </w:rPr>
        <w:t>10</w:t>
      </w:r>
      <w:r>
        <w:rPr>
          <w:rFonts w:ascii="Times New Roman" w:hAnsi="Times New Roman" w:cs="Times New Roman"/>
          <w:sz w:val="24"/>
          <w:szCs w:val="24"/>
        </w:rPr>
        <w:sym w:font="Symbol" w:char="F0A2"/>
      </w:r>
      <w:r>
        <w:rPr>
          <w:rFonts w:ascii="Times New Roman" w:hAnsi="Times New Roman" w:cs="Times New Roman"/>
          <w:sz w:val="24"/>
          <w:szCs w:val="24"/>
        </w:rPr>
        <w:t>15,66</w:t>
      </w:r>
      <w:r>
        <w:rPr>
          <w:rFonts w:ascii="Times New Roman" w:hAnsi="Times New Roman" w:cs="Times New Roman"/>
          <w:sz w:val="24"/>
          <w:szCs w:val="24"/>
        </w:rPr>
        <w:sym w:font="Symbol" w:char="F0A2"/>
      </w:r>
      <w:r>
        <w:rPr>
          <w:rFonts w:ascii="Times New Roman" w:hAnsi="Times New Roman" w:cs="Times New Roman"/>
          <w:sz w:val="24"/>
          <w:szCs w:val="24"/>
        </w:rPr>
        <w:sym w:font="Symbol" w:char="F0A2"/>
      </w:r>
      <w:r>
        <w:rPr>
          <w:rFonts w:ascii="Times New Roman" w:hAnsi="Times New Roman" w:cs="Times New Roman"/>
          <w:sz w:val="24"/>
          <w:szCs w:val="24"/>
        </w:rPr>
        <w:t xml:space="preserve"> Е 39</w:t>
      </w:r>
      <w:r>
        <w:rPr>
          <w:rFonts w:ascii="Times New Roman" w:hAnsi="Times New Roman" w:cs="Times New Roman"/>
          <w:sz w:val="24"/>
          <w:szCs w:val="24"/>
          <w:vertAlign w:val="superscript"/>
        </w:rPr>
        <w:t>0</w:t>
      </w:r>
      <w:r>
        <w:rPr>
          <w:rFonts w:ascii="Times New Roman" w:hAnsi="Times New Roman" w:cs="Times New Roman"/>
          <w:sz w:val="24"/>
          <w:szCs w:val="24"/>
        </w:rPr>
        <w:t>09</w:t>
      </w:r>
      <w:r>
        <w:rPr>
          <w:rFonts w:ascii="Times New Roman" w:hAnsi="Times New Roman" w:cs="Times New Roman"/>
          <w:sz w:val="24"/>
          <w:szCs w:val="24"/>
        </w:rPr>
        <w:sym w:font="Symbol" w:char="F0A2"/>
      </w:r>
      <w:r>
        <w:rPr>
          <w:rFonts w:ascii="Times New Roman" w:hAnsi="Times New Roman" w:cs="Times New Roman"/>
          <w:sz w:val="24"/>
          <w:szCs w:val="24"/>
        </w:rPr>
        <w:t>14,73</w:t>
      </w:r>
      <w:r>
        <w:rPr>
          <w:rFonts w:ascii="Times New Roman" w:hAnsi="Times New Roman" w:cs="Times New Roman"/>
          <w:sz w:val="24"/>
          <w:szCs w:val="24"/>
        </w:rPr>
        <w:sym w:font="Symbol" w:char="F0A2"/>
      </w:r>
      <w:r>
        <w:rPr>
          <w:rFonts w:ascii="Times New Roman" w:hAnsi="Times New Roman" w:cs="Times New Roman"/>
          <w:sz w:val="24"/>
          <w:szCs w:val="24"/>
        </w:rPr>
        <w:sym w:font="Symbol" w:char="F0A2"/>
      </w:r>
      <w:r>
        <w:rPr>
          <w:rFonts w:ascii="Times New Roman" w:hAnsi="Times New Roman" w:cs="Times New Roman"/>
          <w:sz w:val="24"/>
          <w:szCs w:val="24"/>
        </w:rPr>
        <w:t>)</w:t>
      </w:r>
    </w:p>
    <w:p w:rsidR="00A152A0" w:rsidRDefault="00A152A0" w:rsidP="00A152A0">
      <w:pPr>
        <w:pStyle w:val="a9"/>
        <w:numPr>
          <w:ilvl w:val="0"/>
          <w:numId w:val="19"/>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Точка № 2 - ул. Горького, 9. </w:t>
      </w:r>
      <w:proofErr w:type="gramStart"/>
      <w:r>
        <w:rPr>
          <w:rFonts w:ascii="Times New Roman" w:hAnsi="Times New Roman" w:cs="Times New Roman"/>
          <w:sz w:val="24"/>
          <w:szCs w:val="24"/>
        </w:rPr>
        <w:t>ОАО «Туапсинский судоремонтный завод» (координаты:</w:t>
      </w:r>
      <w:proofErr w:type="gramEnd"/>
      <w:r>
        <w:rPr>
          <w:rFonts w:ascii="Times New Roman" w:hAnsi="Times New Roman" w:cs="Times New Roman"/>
          <w:sz w:val="24"/>
          <w:szCs w:val="24"/>
          <w:lang w:val="en-US"/>
        </w:rPr>
        <w:t>N</w:t>
      </w:r>
      <w:r>
        <w:rPr>
          <w:rFonts w:ascii="Times New Roman" w:hAnsi="Times New Roman" w:cs="Times New Roman"/>
          <w:sz w:val="24"/>
          <w:szCs w:val="24"/>
        </w:rPr>
        <w:t xml:space="preserve"> 44</w:t>
      </w:r>
      <w:r>
        <w:rPr>
          <w:rFonts w:ascii="Times New Roman" w:hAnsi="Times New Roman" w:cs="Times New Roman"/>
          <w:sz w:val="24"/>
          <w:szCs w:val="24"/>
          <w:vertAlign w:val="superscript"/>
        </w:rPr>
        <w:t>0</w:t>
      </w:r>
      <w:r>
        <w:rPr>
          <w:rFonts w:ascii="Times New Roman" w:hAnsi="Times New Roman" w:cs="Times New Roman"/>
          <w:sz w:val="24"/>
          <w:szCs w:val="24"/>
        </w:rPr>
        <w:t>09</w:t>
      </w:r>
      <w:r>
        <w:rPr>
          <w:rFonts w:ascii="Times New Roman" w:hAnsi="Times New Roman" w:cs="Times New Roman"/>
          <w:sz w:val="24"/>
          <w:szCs w:val="24"/>
        </w:rPr>
        <w:sym w:font="Symbol" w:char="F0A2"/>
      </w:r>
      <w:r>
        <w:rPr>
          <w:rFonts w:ascii="Times New Roman" w:hAnsi="Times New Roman" w:cs="Times New Roman"/>
          <w:sz w:val="24"/>
          <w:szCs w:val="24"/>
        </w:rPr>
        <w:t>89,79</w:t>
      </w:r>
      <w:r>
        <w:rPr>
          <w:rFonts w:ascii="Times New Roman" w:hAnsi="Times New Roman" w:cs="Times New Roman"/>
          <w:sz w:val="24"/>
          <w:szCs w:val="24"/>
        </w:rPr>
        <w:sym w:font="Symbol" w:char="F0A2"/>
      </w:r>
      <w:r>
        <w:rPr>
          <w:rFonts w:ascii="Times New Roman" w:hAnsi="Times New Roman" w:cs="Times New Roman"/>
          <w:sz w:val="24"/>
          <w:szCs w:val="24"/>
        </w:rPr>
        <w:sym w:font="Symbol" w:char="F0A2"/>
      </w:r>
      <w:r>
        <w:rPr>
          <w:rFonts w:ascii="Times New Roman" w:hAnsi="Times New Roman" w:cs="Times New Roman"/>
          <w:sz w:val="24"/>
          <w:szCs w:val="24"/>
        </w:rPr>
        <w:t xml:space="preserve"> Е 39</w:t>
      </w:r>
      <w:r>
        <w:rPr>
          <w:rFonts w:ascii="Times New Roman" w:hAnsi="Times New Roman" w:cs="Times New Roman"/>
          <w:sz w:val="24"/>
          <w:szCs w:val="24"/>
          <w:vertAlign w:val="superscript"/>
        </w:rPr>
        <w:t>0</w:t>
      </w:r>
      <w:r>
        <w:rPr>
          <w:rFonts w:ascii="Times New Roman" w:hAnsi="Times New Roman" w:cs="Times New Roman"/>
          <w:sz w:val="24"/>
          <w:szCs w:val="24"/>
        </w:rPr>
        <w:t>05</w:t>
      </w:r>
      <w:r>
        <w:rPr>
          <w:rFonts w:ascii="Times New Roman" w:hAnsi="Times New Roman" w:cs="Times New Roman"/>
          <w:sz w:val="24"/>
          <w:szCs w:val="24"/>
        </w:rPr>
        <w:sym w:font="Symbol" w:char="F0A2"/>
      </w:r>
      <w:r>
        <w:rPr>
          <w:rFonts w:ascii="Times New Roman" w:hAnsi="Times New Roman" w:cs="Times New Roman"/>
          <w:sz w:val="24"/>
          <w:szCs w:val="24"/>
        </w:rPr>
        <w:t>81,49</w:t>
      </w:r>
      <w:r>
        <w:rPr>
          <w:rFonts w:ascii="Times New Roman" w:hAnsi="Times New Roman" w:cs="Times New Roman"/>
          <w:sz w:val="24"/>
          <w:szCs w:val="24"/>
        </w:rPr>
        <w:sym w:font="Symbol" w:char="F0A2"/>
      </w:r>
      <w:r>
        <w:rPr>
          <w:rFonts w:ascii="Times New Roman" w:hAnsi="Times New Roman" w:cs="Times New Roman"/>
          <w:sz w:val="24"/>
          <w:szCs w:val="24"/>
        </w:rPr>
        <w:sym w:font="Symbol" w:char="F0A2"/>
      </w:r>
      <w:r>
        <w:rPr>
          <w:rFonts w:ascii="Times New Roman" w:hAnsi="Times New Roman" w:cs="Times New Roman"/>
          <w:sz w:val="24"/>
          <w:szCs w:val="24"/>
        </w:rPr>
        <w:t>)</w:t>
      </w:r>
    </w:p>
    <w:p w:rsidR="00A152A0" w:rsidRDefault="00A152A0" w:rsidP="00A152A0">
      <w:pPr>
        <w:pStyle w:val="a9"/>
        <w:numPr>
          <w:ilvl w:val="0"/>
          <w:numId w:val="19"/>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Точка № 3 - ул. Индустриальная, 17. </w:t>
      </w:r>
      <w:proofErr w:type="gramStart"/>
      <w:r>
        <w:rPr>
          <w:rFonts w:ascii="Times New Roman" w:hAnsi="Times New Roman" w:cs="Times New Roman"/>
          <w:sz w:val="24"/>
          <w:szCs w:val="24"/>
        </w:rPr>
        <w:t>ООО «Туапсинский машиностроительный завод» (координаты:</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 xml:space="preserve"> 44</w:t>
      </w:r>
      <w:r>
        <w:rPr>
          <w:rFonts w:ascii="Times New Roman" w:hAnsi="Times New Roman" w:cs="Times New Roman"/>
          <w:sz w:val="24"/>
          <w:szCs w:val="24"/>
          <w:vertAlign w:val="superscript"/>
        </w:rPr>
        <w:t>0</w:t>
      </w:r>
      <w:r>
        <w:rPr>
          <w:rFonts w:ascii="Times New Roman" w:hAnsi="Times New Roman" w:cs="Times New Roman"/>
          <w:sz w:val="24"/>
          <w:szCs w:val="24"/>
        </w:rPr>
        <w:t>09</w:t>
      </w:r>
      <w:r>
        <w:rPr>
          <w:rFonts w:ascii="Times New Roman" w:hAnsi="Times New Roman" w:cs="Times New Roman"/>
          <w:sz w:val="24"/>
          <w:szCs w:val="24"/>
        </w:rPr>
        <w:sym w:font="Symbol" w:char="F0A2"/>
      </w:r>
      <w:r>
        <w:rPr>
          <w:rFonts w:ascii="Times New Roman" w:hAnsi="Times New Roman" w:cs="Times New Roman"/>
          <w:sz w:val="24"/>
          <w:szCs w:val="24"/>
        </w:rPr>
        <w:t>38,46</w:t>
      </w:r>
      <w:r>
        <w:rPr>
          <w:rFonts w:ascii="Times New Roman" w:hAnsi="Times New Roman" w:cs="Times New Roman"/>
          <w:sz w:val="24"/>
          <w:szCs w:val="24"/>
        </w:rPr>
        <w:sym w:font="Symbol" w:char="F0A2"/>
      </w:r>
      <w:r>
        <w:rPr>
          <w:rFonts w:ascii="Times New Roman" w:hAnsi="Times New Roman" w:cs="Times New Roman"/>
          <w:sz w:val="24"/>
          <w:szCs w:val="24"/>
        </w:rPr>
        <w:sym w:font="Symbol" w:char="F0A2"/>
      </w:r>
      <w:r>
        <w:rPr>
          <w:rFonts w:ascii="Times New Roman" w:hAnsi="Times New Roman" w:cs="Times New Roman"/>
          <w:sz w:val="24"/>
          <w:szCs w:val="24"/>
        </w:rPr>
        <w:t xml:space="preserve"> Е 39</w:t>
      </w:r>
      <w:r>
        <w:rPr>
          <w:rFonts w:ascii="Times New Roman" w:hAnsi="Times New Roman" w:cs="Times New Roman"/>
          <w:sz w:val="24"/>
          <w:szCs w:val="24"/>
          <w:vertAlign w:val="superscript"/>
        </w:rPr>
        <w:t>0</w:t>
      </w:r>
      <w:r>
        <w:rPr>
          <w:rFonts w:ascii="Times New Roman" w:hAnsi="Times New Roman" w:cs="Times New Roman"/>
          <w:sz w:val="24"/>
          <w:szCs w:val="24"/>
        </w:rPr>
        <w:t>09</w:t>
      </w:r>
      <w:r>
        <w:rPr>
          <w:rFonts w:ascii="Times New Roman" w:hAnsi="Times New Roman" w:cs="Times New Roman"/>
          <w:sz w:val="24"/>
          <w:szCs w:val="24"/>
        </w:rPr>
        <w:sym w:font="Symbol" w:char="F0A2"/>
      </w:r>
      <w:r>
        <w:rPr>
          <w:rFonts w:ascii="Times New Roman" w:hAnsi="Times New Roman" w:cs="Times New Roman"/>
          <w:sz w:val="24"/>
          <w:szCs w:val="24"/>
        </w:rPr>
        <w:t>02,02</w:t>
      </w:r>
      <w:r>
        <w:rPr>
          <w:rFonts w:ascii="Times New Roman" w:hAnsi="Times New Roman" w:cs="Times New Roman"/>
          <w:sz w:val="24"/>
          <w:szCs w:val="24"/>
        </w:rPr>
        <w:sym w:font="Symbol" w:char="F0A2"/>
      </w:r>
      <w:r>
        <w:rPr>
          <w:rFonts w:ascii="Times New Roman" w:hAnsi="Times New Roman" w:cs="Times New Roman"/>
          <w:sz w:val="24"/>
          <w:szCs w:val="24"/>
        </w:rPr>
        <w:sym w:font="Symbol" w:char="F0A2"/>
      </w:r>
      <w:r>
        <w:rPr>
          <w:rFonts w:ascii="Times New Roman" w:hAnsi="Times New Roman" w:cs="Times New Roman"/>
          <w:sz w:val="24"/>
          <w:szCs w:val="24"/>
        </w:rPr>
        <w:t>)</w:t>
      </w:r>
    </w:p>
    <w:p w:rsidR="00A152A0" w:rsidRDefault="00A152A0" w:rsidP="00A152A0">
      <w:pPr>
        <w:pStyle w:val="a9"/>
        <w:numPr>
          <w:ilvl w:val="0"/>
          <w:numId w:val="19"/>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Точка № 4 - ул. Приморский бульвар – ул. Гоголя. </w:t>
      </w:r>
      <w:proofErr w:type="gramStart"/>
      <w:r>
        <w:rPr>
          <w:rFonts w:ascii="Times New Roman" w:hAnsi="Times New Roman" w:cs="Times New Roman"/>
          <w:sz w:val="24"/>
          <w:szCs w:val="24"/>
        </w:rPr>
        <w:t>Туапсинский морской порт (координаты:</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 xml:space="preserve"> 44</w:t>
      </w:r>
      <w:r>
        <w:rPr>
          <w:rFonts w:ascii="Times New Roman" w:hAnsi="Times New Roman" w:cs="Times New Roman"/>
          <w:sz w:val="24"/>
          <w:szCs w:val="24"/>
          <w:vertAlign w:val="superscript"/>
        </w:rPr>
        <w:t>0</w:t>
      </w:r>
      <w:r>
        <w:rPr>
          <w:rFonts w:ascii="Times New Roman" w:hAnsi="Times New Roman" w:cs="Times New Roman"/>
          <w:sz w:val="24"/>
          <w:szCs w:val="24"/>
        </w:rPr>
        <w:t>09</w:t>
      </w:r>
      <w:r>
        <w:rPr>
          <w:rFonts w:ascii="Times New Roman" w:hAnsi="Times New Roman" w:cs="Times New Roman"/>
          <w:sz w:val="24"/>
          <w:szCs w:val="24"/>
        </w:rPr>
        <w:sym w:font="Symbol" w:char="F0A2"/>
      </w:r>
      <w:r>
        <w:rPr>
          <w:rFonts w:ascii="Times New Roman" w:hAnsi="Times New Roman" w:cs="Times New Roman"/>
          <w:sz w:val="24"/>
          <w:szCs w:val="24"/>
        </w:rPr>
        <w:t>52,56</w:t>
      </w:r>
      <w:r>
        <w:rPr>
          <w:rFonts w:ascii="Times New Roman" w:hAnsi="Times New Roman" w:cs="Times New Roman"/>
          <w:sz w:val="24"/>
          <w:szCs w:val="24"/>
        </w:rPr>
        <w:sym w:font="Symbol" w:char="F0A2"/>
      </w:r>
      <w:r>
        <w:rPr>
          <w:rFonts w:ascii="Times New Roman" w:hAnsi="Times New Roman" w:cs="Times New Roman"/>
          <w:sz w:val="24"/>
          <w:szCs w:val="24"/>
        </w:rPr>
        <w:sym w:font="Symbol" w:char="F0A2"/>
      </w:r>
      <w:r>
        <w:rPr>
          <w:rFonts w:ascii="Times New Roman" w:hAnsi="Times New Roman" w:cs="Times New Roman"/>
          <w:sz w:val="24"/>
          <w:szCs w:val="24"/>
        </w:rPr>
        <w:t xml:space="preserve"> Е 39</w:t>
      </w:r>
      <w:r>
        <w:rPr>
          <w:rFonts w:ascii="Times New Roman" w:hAnsi="Times New Roman" w:cs="Times New Roman"/>
          <w:sz w:val="24"/>
          <w:szCs w:val="24"/>
          <w:vertAlign w:val="superscript"/>
        </w:rPr>
        <w:t>0</w:t>
      </w:r>
      <w:r>
        <w:rPr>
          <w:rFonts w:ascii="Times New Roman" w:hAnsi="Times New Roman" w:cs="Times New Roman"/>
          <w:sz w:val="24"/>
          <w:szCs w:val="24"/>
        </w:rPr>
        <w:t>06</w:t>
      </w:r>
      <w:r>
        <w:rPr>
          <w:rFonts w:ascii="Times New Roman" w:hAnsi="Times New Roman" w:cs="Times New Roman"/>
          <w:sz w:val="24"/>
          <w:szCs w:val="24"/>
        </w:rPr>
        <w:sym w:font="Symbol" w:char="F0A2"/>
      </w:r>
      <w:r>
        <w:rPr>
          <w:rFonts w:ascii="Times New Roman" w:hAnsi="Times New Roman" w:cs="Times New Roman"/>
          <w:sz w:val="24"/>
          <w:szCs w:val="24"/>
        </w:rPr>
        <w:t>95,41</w:t>
      </w:r>
      <w:r>
        <w:rPr>
          <w:rFonts w:ascii="Times New Roman" w:hAnsi="Times New Roman" w:cs="Times New Roman"/>
          <w:sz w:val="24"/>
          <w:szCs w:val="24"/>
        </w:rPr>
        <w:sym w:font="Symbol" w:char="F0A2"/>
      </w:r>
      <w:r>
        <w:rPr>
          <w:rFonts w:ascii="Times New Roman" w:hAnsi="Times New Roman" w:cs="Times New Roman"/>
          <w:sz w:val="24"/>
          <w:szCs w:val="24"/>
        </w:rPr>
        <w:sym w:font="Symbol" w:char="F0A2"/>
      </w:r>
      <w:r>
        <w:rPr>
          <w:rFonts w:ascii="Times New Roman" w:hAnsi="Times New Roman" w:cs="Times New Roman"/>
          <w:sz w:val="24"/>
          <w:szCs w:val="24"/>
        </w:rPr>
        <w:t>)</w:t>
      </w:r>
    </w:p>
    <w:p w:rsidR="00A152A0" w:rsidRDefault="00A152A0" w:rsidP="00A152A0">
      <w:pPr>
        <w:pStyle w:val="a9"/>
        <w:numPr>
          <w:ilvl w:val="0"/>
          <w:numId w:val="19"/>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Точка № 5 - ул. Свободы – ул. Коммунистическая. </w:t>
      </w:r>
      <w:proofErr w:type="gramStart"/>
      <w:r>
        <w:rPr>
          <w:rFonts w:ascii="Times New Roman" w:hAnsi="Times New Roman" w:cs="Times New Roman"/>
          <w:sz w:val="24"/>
          <w:szCs w:val="24"/>
        </w:rPr>
        <w:t>Селитебная зона (координаты:</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 xml:space="preserve"> 44</w:t>
      </w:r>
      <w:r>
        <w:rPr>
          <w:rFonts w:ascii="Times New Roman" w:hAnsi="Times New Roman" w:cs="Times New Roman"/>
          <w:sz w:val="24"/>
          <w:szCs w:val="24"/>
          <w:vertAlign w:val="superscript"/>
        </w:rPr>
        <w:t>0</w:t>
      </w:r>
      <w:r>
        <w:rPr>
          <w:rFonts w:ascii="Times New Roman" w:hAnsi="Times New Roman" w:cs="Times New Roman"/>
          <w:sz w:val="24"/>
          <w:szCs w:val="24"/>
        </w:rPr>
        <w:t>10</w:t>
      </w:r>
      <w:r>
        <w:rPr>
          <w:rFonts w:ascii="Times New Roman" w:hAnsi="Times New Roman" w:cs="Times New Roman"/>
          <w:sz w:val="24"/>
          <w:szCs w:val="24"/>
        </w:rPr>
        <w:sym w:font="Symbol" w:char="F0A2"/>
      </w:r>
      <w:r>
        <w:rPr>
          <w:rFonts w:ascii="Times New Roman" w:hAnsi="Times New Roman" w:cs="Times New Roman"/>
          <w:sz w:val="24"/>
          <w:szCs w:val="24"/>
        </w:rPr>
        <w:t>29,30</w:t>
      </w:r>
      <w:r>
        <w:rPr>
          <w:rFonts w:ascii="Times New Roman" w:hAnsi="Times New Roman" w:cs="Times New Roman"/>
          <w:sz w:val="24"/>
          <w:szCs w:val="24"/>
        </w:rPr>
        <w:sym w:font="Symbol" w:char="F0A2"/>
      </w:r>
      <w:r>
        <w:rPr>
          <w:rFonts w:ascii="Times New Roman" w:hAnsi="Times New Roman" w:cs="Times New Roman"/>
          <w:sz w:val="24"/>
          <w:szCs w:val="24"/>
        </w:rPr>
        <w:sym w:font="Symbol" w:char="F0A2"/>
      </w:r>
      <w:r>
        <w:rPr>
          <w:rFonts w:ascii="Times New Roman" w:hAnsi="Times New Roman" w:cs="Times New Roman"/>
          <w:sz w:val="24"/>
          <w:szCs w:val="24"/>
        </w:rPr>
        <w:t xml:space="preserve"> Е 39</w:t>
      </w:r>
      <w:r>
        <w:rPr>
          <w:rFonts w:ascii="Times New Roman" w:hAnsi="Times New Roman" w:cs="Times New Roman"/>
          <w:sz w:val="24"/>
          <w:szCs w:val="24"/>
          <w:vertAlign w:val="superscript"/>
        </w:rPr>
        <w:t>0</w:t>
      </w:r>
      <w:r>
        <w:rPr>
          <w:rFonts w:ascii="Times New Roman" w:hAnsi="Times New Roman" w:cs="Times New Roman"/>
          <w:sz w:val="24"/>
          <w:szCs w:val="24"/>
        </w:rPr>
        <w:t>07</w:t>
      </w:r>
      <w:r>
        <w:rPr>
          <w:rFonts w:ascii="Times New Roman" w:hAnsi="Times New Roman" w:cs="Times New Roman"/>
          <w:sz w:val="24"/>
          <w:szCs w:val="24"/>
        </w:rPr>
        <w:sym w:font="Symbol" w:char="F0A2"/>
      </w:r>
      <w:r>
        <w:rPr>
          <w:rFonts w:ascii="Times New Roman" w:hAnsi="Times New Roman" w:cs="Times New Roman"/>
          <w:sz w:val="24"/>
          <w:szCs w:val="24"/>
        </w:rPr>
        <w:t>40,43</w:t>
      </w:r>
      <w:r>
        <w:rPr>
          <w:rFonts w:ascii="Times New Roman" w:hAnsi="Times New Roman" w:cs="Times New Roman"/>
          <w:sz w:val="24"/>
          <w:szCs w:val="24"/>
        </w:rPr>
        <w:sym w:font="Symbol" w:char="F0A2"/>
      </w:r>
      <w:r>
        <w:rPr>
          <w:rFonts w:ascii="Times New Roman" w:hAnsi="Times New Roman" w:cs="Times New Roman"/>
          <w:sz w:val="24"/>
          <w:szCs w:val="24"/>
        </w:rPr>
        <w:sym w:font="Symbol" w:char="F0A2"/>
      </w:r>
      <w:r>
        <w:rPr>
          <w:rFonts w:ascii="Times New Roman" w:hAnsi="Times New Roman" w:cs="Times New Roman"/>
          <w:sz w:val="24"/>
          <w:szCs w:val="24"/>
        </w:rPr>
        <w:t>)</w:t>
      </w:r>
    </w:p>
    <w:p w:rsidR="00A152A0" w:rsidRDefault="00A152A0" w:rsidP="00A152A0">
      <w:pPr>
        <w:pStyle w:val="a9"/>
        <w:numPr>
          <w:ilvl w:val="0"/>
          <w:numId w:val="19"/>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Точка № 6 - ул. Щорса – ул. Богдана Хмельницкого. </w:t>
      </w:r>
      <w:proofErr w:type="gramStart"/>
      <w:r>
        <w:rPr>
          <w:rFonts w:ascii="Times New Roman" w:hAnsi="Times New Roman" w:cs="Times New Roman"/>
          <w:sz w:val="24"/>
          <w:szCs w:val="24"/>
        </w:rPr>
        <w:t>Транспортная развязка (координаты:</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 xml:space="preserve"> 44</w:t>
      </w:r>
      <w:r>
        <w:rPr>
          <w:rFonts w:ascii="Times New Roman" w:hAnsi="Times New Roman" w:cs="Times New Roman"/>
          <w:sz w:val="24"/>
          <w:szCs w:val="24"/>
          <w:vertAlign w:val="superscript"/>
        </w:rPr>
        <w:t>0</w:t>
      </w:r>
      <w:r>
        <w:rPr>
          <w:rFonts w:ascii="Times New Roman" w:hAnsi="Times New Roman" w:cs="Times New Roman"/>
          <w:sz w:val="24"/>
          <w:szCs w:val="24"/>
        </w:rPr>
        <w:t>10</w:t>
      </w:r>
      <w:r>
        <w:rPr>
          <w:rFonts w:ascii="Times New Roman" w:hAnsi="Times New Roman" w:cs="Times New Roman"/>
          <w:sz w:val="24"/>
          <w:szCs w:val="24"/>
        </w:rPr>
        <w:sym w:font="Symbol" w:char="F0A2"/>
      </w:r>
      <w:r>
        <w:rPr>
          <w:rFonts w:ascii="Times New Roman" w:hAnsi="Times New Roman" w:cs="Times New Roman"/>
          <w:sz w:val="24"/>
          <w:szCs w:val="24"/>
        </w:rPr>
        <w:t>45,52</w:t>
      </w:r>
      <w:r>
        <w:rPr>
          <w:rFonts w:ascii="Times New Roman" w:hAnsi="Times New Roman" w:cs="Times New Roman"/>
          <w:sz w:val="24"/>
          <w:szCs w:val="24"/>
        </w:rPr>
        <w:sym w:font="Symbol" w:char="F0A2"/>
      </w:r>
      <w:r>
        <w:rPr>
          <w:rFonts w:ascii="Times New Roman" w:hAnsi="Times New Roman" w:cs="Times New Roman"/>
          <w:sz w:val="24"/>
          <w:szCs w:val="24"/>
        </w:rPr>
        <w:sym w:font="Symbol" w:char="F0A2"/>
      </w:r>
      <w:r>
        <w:rPr>
          <w:rFonts w:ascii="Times New Roman" w:hAnsi="Times New Roman" w:cs="Times New Roman"/>
          <w:sz w:val="24"/>
          <w:szCs w:val="24"/>
        </w:rPr>
        <w:t xml:space="preserve"> Е 39</w:t>
      </w:r>
      <w:r>
        <w:rPr>
          <w:rFonts w:ascii="Times New Roman" w:hAnsi="Times New Roman" w:cs="Times New Roman"/>
          <w:sz w:val="24"/>
          <w:szCs w:val="24"/>
          <w:vertAlign w:val="superscript"/>
        </w:rPr>
        <w:t>0</w:t>
      </w:r>
      <w:r>
        <w:rPr>
          <w:rFonts w:ascii="Times New Roman" w:hAnsi="Times New Roman" w:cs="Times New Roman"/>
          <w:sz w:val="24"/>
          <w:szCs w:val="24"/>
        </w:rPr>
        <w:t>08</w:t>
      </w:r>
      <w:r>
        <w:rPr>
          <w:rFonts w:ascii="Times New Roman" w:hAnsi="Times New Roman" w:cs="Times New Roman"/>
          <w:sz w:val="24"/>
          <w:szCs w:val="24"/>
        </w:rPr>
        <w:sym w:font="Symbol" w:char="F0A2"/>
      </w:r>
      <w:r>
        <w:rPr>
          <w:rFonts w:ascii="Times New Roman" w:hAnsi="Times New Roman" w:cs="Times New Roman"/>
          <w:sz w:val="24"/>
          <w:szCs w:val="24"/>
        </w:rPr>
        <w:t>72,93</w:t>
      </w:r>
      <w:r>
        <w:rPr>
          <w:rFonts w:ascii="Times New Roman" w:hAnsi="Times New Roman" w:cs="Times New Roman"/>
          <w:sz w:val="24"/>
          <w:szCs w:val="24"/>
        </w:rPr>
        <w:sym w:font="Symbol" w:char="F0A2"/>
      </w:r>
      <w:r>
        <w:rPr>
          <w:rFonts w:ascii="Times New Roman" w:hAnsi="Times New Roman" w:cs="Times New Roman"/>
          <w:sz w:val="24"/>
          <w:szCs w:val="24"/>
        </w:rPr>
        <w:sym w:font="Symbol" w:char="F0A2"/>
      </w:r>
      <w:r>
        <w:rPr>
          <w:rFonts w:ascii="Times New Roman" w:hAnsi="Times New Roman" w:cs="Times New Roman"/>
          <w:sz w:val="24"/>
          <w:szCs w:val="24"/>
        </w:rPr>
        <w:t>)</w:t>
      </w:r>
    </w:p>
    <w:p w:rsidR="00A152A0" w:rsidRDefault="00A152A0" w:rsidP="00A152A0">
      <w:pPr>
        <w:spacing w:line="228" w:lineRule="auto"/>
        <w:ind w:firstLine="709"/>
        <w:jc w:val="both"/>
        <w:rPr>
          <w:sz w:val="24"/>
          <w:szCs w:val="24"/>
        </w:rPr>
      </w:pPr>
      <w:r>
        <w:rPr>
          <w:sz w:val="24"/>
          <w:szCs w:val="24"/>
        </w:rPr>
        <w:lastRenderedPageBreak/>
        <w:t>Отбор проб воздуха осуществляется с периодичностью 1 раз в квартал. В каждой точке атмосферный воздух исследовался на  следующие загрязняющие ингредиенты: аммиак,  азота оксид, азота диоксид, серы диоксид, углерода оксид, сероводород, взвешенные вещества, предельные углеводороды С</w:t>
      </w:r>
      <w:r>
        <w:rPr>
          <w:sz w:val="24"/>
          <w:szCs w:val="24"/>
          <w:vertAlign w:val="subscript"/>
        </w:rPr>
        <w:t>1</w:t>
      </w:r>
      <w:r>
        <w:rPr>
          <w:sz w:val="24"/>
          <w:szCs w:val="24"/>
        </w:rPr>
        <w:t>-С</w:t>
      </w:r>
      <w:r>
        <w:rPr>
          <w:sz w:val="24"/>
          <w:szCs w:val="24"/>
          <w:vertAlign w:val="subscript"/>
        </w:rPr>
        <w:t>10</w:t>
      </w:r>
      <w:r>
        <w:rPr>
          <w:sz w:val="24"/>
          <w:szCs w:val="24"/>
        </w:rPr>
        <w:t xml:space="preserve">, бензол, толуол, </w:t>
      </w:r>
      <w:proofErr w:type="spellStart"/>
      <w:r>
        <w:rPr>
          <w:sz w:val="24"/>
          <w:szCs w:val="24"/>
        </w:rPr>
        <w:t>м</w:t>
      </w:r>
      <w:proofErr w:type="gramStart"/>
      <w:r>
        <w:rPr>
          <w:sz w:val="24"/>
          <w:szCs w:val="24"/>
        </w:rPr>
        <w:t>,п</w:t>
      </w:r>
      <w:proofErr w:type="spellEnd"/>
      <w:proofErr w:type="gramEnd"/>
      <w:r>
        <w:rPr>
          <w:sz w:val="24"/>
          <w:szCs w:val="24"/>
        </w:rPr>
        <w:t>-ксилол, о-ксилол, ртуть, железо, кобальт, марганец, медь, никель, свинец, кадмий, цинк. Одновременно с определением загрязняющих веществ,  в каждой точке проводились замеры метеопараметров.</w:t>
      </w:r>
    </w:p>
    <w:p w:rsidR="002F6B3F" w:rsidRDefault="002F6B3F" w:rsidP="008B08D9">
      <w:pPr>
        <w:spacing w:line="228" w:lineRule="auto"/>
        <w:ind w:left="360"/>
        <w:rPr>
          <w:sz w:val="24"/>
          <w:szCs w:val="24"/>
        </w:rPr>
      </w:pPr>
    </w:p>
    <w:p w:rsidR="00A152A0" w:rsidRPr="00A152A0" w:rsidRDefault="00A152A0" w:rsidP="00A152A0">
      <w:pPr>
        <w:spacing w:line="228" w:lineRule="auto"/>
        <w:ind w:firstLine="708"/>
        <w:contextualSpacing/>
        <w:jc w:val="both"/>
        <w:rPr>
          <w:sz w:val="24"/>
          <w:szCs w:val="24"/>
        </w:rPr>
      </w:pPr>
      <w:r>
        <w:rPr>
          <w:sz w:val="24"/>
          <w:szCs w:val="24"/>
        </w:rPr>
        <w:t>П</w:t>
      </w:r>
      <w:r w:rsidRPr="00A152A0">
        <w:rPr>
          <w:sz w:val="24"/>
          <w:szCs w:val="24"/>
        </w:rPr>
        <w:t>о результатам исследований проб объектов окружающей среды, отобранных в сентябре 2013</w:t>
      </w:r>
      <w:r>
        <w:rPr>
          <w:sz w:val="24"/>
          <w:szCs w:val="24"/>
        </w:rPr>
        <w:t>,</w:t>
      </w:r>
      <w:r w:rsidRPr="00A152A0">
        <w:rPr>
          <w:sz w:val="24"/>
          <w:szCs w:val="24"/>
        </w:rPr>
        <w:t xml:space="preserve"> в пробах атмосферного воздуха города Краснодара,  отобранных в точках контроля, в единичных случаях были обнаружены превышения ПДК по тяжелым металлам: медь (1,06 – 2,61 ПДК) и свинец (1,25 – 3,06 ПДК), кроме того выявлено повышенное содержание никеля, цинка и кадмия; максимально разовое содержание всех остальных анализируемых веществ не превысило предельно допустимой максимально разовой  концентрации для данных веществ. </w:t>
      </w:r>
    </w:p>
    <w:p w:rsidR="008B08D9" w:rsidRDefault="008B08D9" w:rsidP="008B08D9">
      <w:pPr>
        <w:spacing w:line="228" w:lineRule="auto"/>
        <w:ind w:left="360"/>
        <w:rPr>
          <w:sz w:val="24"/>
          <w:szCs w:val="24"/>
        </w:rPr>
      </w:pPr>
    </w:p>
    <w:p w:rsidR="004672B5" w:rsidRDefault="008B08D9" w:rsidP="008B08D9">
      <w:pPr>
        <w:spacing w:line="228" w:lineRule="auto"/>
        <w:ind w:firstLine="709"/>
        <w:jc w:val="both"/>
        <w:rPr>
          <w:sz w:val="24"/>
          <w:szCs w:val="24"/>
        </w:rPr>
      </w:pPr>
      <w:r>
        <w:rPr>
          <w:sz w:val="24"/>
          <w:szCs w:val="24"/>
        </w:rPr>
        <w:t xml:space="preserve">В рамках мониторинговых работ экологического состояния степных рек </w:t>
      </w:r>
      <w:proofErr w:type="gramStart"/>
      <w:r>
        <w:rPr>
          <w:sz w:val="24"/>
          <w:szCs w:val="24"/>
        </w:rPr>
        <w:t>произведен</w:t>
      </w:r>
      <w:proofErr w:type="gramEnd"/>
      <w:r>
        <w:rPr>
          <w:sz w:val="24"/>
          <w:szCs w:val="24"/>
        </w:rPr>
        <w:t xml:space="preserve"> отбор</w:t>
      </w:r>
      <w:r w:rsidR="004672B5">
        <w:rPr>
          <w:sz w:val="24"/>
          <w:szCs w:val="24"/>
        </w:rPr>
        <w:t>ы:</w:t>
      </w:r>
    </w:p>
    <w:p w:rsidR="008B08D9" w:rsidRDefault="004672B5" w:rsidP="008B08D9">
      <w:pPr>
        <w:spacing w:line="228" w:lineRule="auto"/>
        <w:ind w:firstLine="709"/>
        <w:jc w:val="both"/>
        <w:rPr>
          <w:sz w:val="24"/>
          <w:szCs w:val="24"/>
        </w:rPr>
      </w:pPr>
      <w:r>
        <w:rPr>
          <w:sz w:val="24"/>
          <w:szCs w:val="24"/>
        </w:rPr>
        <w:t>-</w:t>
      </w:r>
      <w:r w:rsidR="008B08D9">
        <w:rPr>
          <w:sz w:val="24"/>
          <w:szCs w:val="24"/>
        </w:rPr>
        <w:t xml:space="preserve"> </w:t>
      </w:r>
      <w:r w:rsidR="00A152A0">
        <w:rPr>
          <w:sz w:val="24"/>
          <w:szCs w:val="24"/>
        </w:rPr>
        <w:t xml:space="preserve">4 проб воды в установленных створах реки </w:t>
      </w:r>
      <w:proofErr w:type="spellStart"/>
      <w:r w:rsidR="00A152A0">
        <w:rPr>
          <w:sz w:val="24"/>
          <w:szCs w:val="24"/>
        </w:rPr>
        <w:t>Бейсуг</w:t>
      </w:r>
      <w:proofErr w:type="spellEnd"/>
      <w:r w:rsidR="00A152A0">
        <w:rPr>
          <w:sz w:val="24"/>
          <w:szCs w:val="24"/>
        </w:rPr>
        <w:t xml:space="preserve"> – от истока (п. Октябрьский  220 км от устья), далее по водотоку - ст. Березанская 180 км от устья и ст. </w:t>
      </w:r>
      <w:proofErr w:type="spellStart"/>
      <w:r w:rsidR="00A152A0">
        <w:rPr>
          <w:sz w:val="24"/>
          <w:szCs w:val="24"/>
        </w:rPr>
        <w:t>Переяславская</w:t>
      </w:r>
      <w:proofErr w:type="spellEnd"/>
      <w:r w:rsidR="00A152A0">
        <w:rPr>
          <w:sz w:val="24"/>
          <w:szCs w:val="24"/>
        </w:rPr>
        <w:t xml:space="preserve"> 86 км от устья, и  устье (ст. </w:t>
      </w:r>
      <w:proofErr w:type="spellStart"/>
      <w:r w:rsidR="00A152A0">
        <w:rPr>
          <w:sz w:val="24"/>
          <w:szCs w:val="24"/>
        </w:rPr>
        <w:t>Бриньковская</w:t>
      </w:r>
      <w:proofErr w:type="spellEnd"/>
      <w:r w:rsidR="00A152A0">
        <w:rPr>
          <w:sz w:val="24"/>
          <w:szCs w:val="24"/>
        </w:rPr>
        <w:t>, 3 км от устья</w:t>
      </w:r>
      <w:r>
        <w:rPr>
          <w:sz w:val="24"/>
          <w:szCs w:val="24"/>
        </w:rPr>
        <w:t>)</w:t>
      </w:r>
      <w:r w:rsidR="008B08D9">
        <w:rPr>
          <w:sz w:val="24"/>
          <w:szCs w:val="24"/>
        </w:rPr>
        <w:t xml:space="preserve">. </w:t>
      </w:r>
    </w:p>
    <w:p w:rsidR="004672B5" w:rsidRDefault="004672B5" w:rsidP="004672B5">
      <w:pPr>
        <w:ind w:firstLine="425"/>
        <w:rPr>
          <w:sz w:val="24"/>
          <w:szCs w:val="24"/>
        </w:rPr>
      </w:pPr>
      <w:r>
        <w:rPr>
          <w:sz w:val="24"/>
          <w:szCs w:val="24"/>
        </w:rPr>
        <w:t xml:space="preserve">- </w:t>
      </w:r>
      <w:r w:rsidR="00A152A0">
        <w:rPr>
          <w:sz w:val="24"/>
          <w:szCs w:val="24"/>
        </w:rPr>
        <w:t xml:space="preserve">3 проб воды в установленных створах реки Понура – от истока (ст. </w:t>
      </w:r>
      <w:proofErr w:type="spellStart"/>
      <w:r w:rsidR="00A152A0">
        <w:rPr>
          <w:sz w:val="24"/>
          <w:szCs w:val="24"/>
        </w:rPr>
        <w:t>Новотитаровская</w:t>
      </w:r>
      <w:proofErr w:type="spellEnd"/>
      <w:r w:rsidR="00A152A0">
        <w:rPr>
          <w:sz w:val="24"/>
          <w:szCs w:val="24"/>
        </w:rPr>
        <w:t xml:space="preserve"> 82,4 км от устья), далее по водотоку</w:t>
      </w:r>
      <w:r>
        <w:rPr>
          <w:sz w:val="24"/>
          <w:szCs w:val="24"/>
        </w:rPr>
        <w:t xml:space="preserve"> -</w:t>
      </w:r>
      <w:r w:rsidR="00A152A0">
        <w:rPr>
          <w:sz w:val="24"/>
          <w:szCs w:val="24"/>
        </w:rPr>
        <w:t xml:space="preserve"> ст. </w:t>
      </w:r>
      <w:proofErr w:type="gramStart"/>
      <w:r w:rsidR="00A152A0">
        <w:rPr>
          <w:sz w:val="24"/>
          <w:szCs w:val="24"/>
        </w:rPr>
        <w:t>Бойко-Понура</w:t>
      </w:r>
      <w:proofErr w:type="gramEnd"/>
      <w:r w:rsidR="00A152A0">
        <w:rPr>
          <w:sz w:val="24"/>
          <w:szCs w:val="24"/>
        </w:rPr>
        <w:t xml:space="preserve"> 56,6 км от устья и в устьевой части реки перед впадением в </w:t>
      </w:r>
      <w:proofErr w:type="spellStart"/>
      <w:r w:rsidR="00A152A0">
        <w:rPr>
          <w:sz w:val="24"/>
          <w:szCs w:val="24"/>
        </w:rPr>
        <w:t>Понурский</w:t>
      </w:r>
      <w:proofErr w:type="spellEnd"/>
      <w:r w:rsidR="00A152A0">
        <w:rPr>
          <w:sz w:val="24"/>
          <w:szCs w:val="24"/>
        </w:rPr>
        <w:t xml:space="preserve"> лиман (ст. Калининская 32,6 км от устья);</w:t>
      </w:r>
    </w:p>
    <w:p w:rsidR="00A152A0" w:rsidRDefault="004672B5" w:rsidP="004672B5">
      <w:pPr>
        <w:ind w:firstLine="425"/>
        <w:rPr>
          <w:sz w:val="24"/>
          <w:szCs w:val="24"/>
        </w:rPr>
      </w:pPr>
      <w:r>
        <w:rPr>
          <w:sz w:val="24"/>
          <w:szCs w:val="24"/>
        </w:rPr>
        <w:t xml:space="preserve">- </w:t>
      </w:r>
      <w:r w:rsidR="00A152A0">
        <w:rPr>
          <w:sz w:val="24"/>
          <w:szCs w:val="24"/>
        </w:rPr>
        <w:t xml:space="preserve">4 проб воды в установленных створах реки </w:t>
      </w:r>
      <w:proofErr w:type="spellStart"/>
      <w:r w:rsidR="00A152A0">
        <w:rPr>
          <w:sz w:val="24"/>
          <w:szCs w:val="24"/>
        </w:rPr>
        <w:t>Кирпили</w:t>
      </w:r>
      <w:proofErr w:type="spellEnd"/>
      <w:r w:rsidR="00A152A0">
        <w:rPr>
          <w:sz w:val="24"/>
          <w:szCs w:val="24"/>
        </w:rPr>
        <w:t xml:space="preserve"> –</w:t>
      </w:r>
      <w:r w:rsidR="00A152A0">
        <w:rPr>
          <w:color w:val="FF0000"/>
          <w:sz w:val="24"/>
          <w:szCs w:val="24"/>
        </w:rPr>
        <w:t xml:space="preserve"> </w:t>
      </w:r>
      <w:r w:rsidR="00A152A0">
        <w:rPr>
          <w:sz w:val="24"/>
          <w:szCs w:val="24"/>
        </w:rPr>
        <w:t xml:space="preserve">от истока (ст. </w:t>
      </w:r>
      <w:proofErr w:type="spellStart"/>
      <w:r w:rsidR="00A152A0">
        <w:rPr>
          <w:sz w:val="24"/>
          <w:szCs w:val="24"/>
        </w:rPr>
        <w:t>Кирпильская</w:t>
      </w:r>
      <w:proofErr w:type="spellEnd"/>
      <w:r w:rsidR="00A152A0">
        <w:rPr>
          <w:sz w:val="24"/>
          <w:szCs w:val="24"/>
        </w:rPr>
        <w:t xml:space="preserve">), далее </w:t>
      </w:r>
      <w:r>
        <w:rPr>
          <w:sz w:val="24"/>
          <w:szCs w:val="24"/>
        </w:rPr>
        <w:t xml:space="preserve">- </w:t>
      </w:r>
      <w:r w:rsidR="00A152A0">
        <w:rPr>
          <w:sz w:val="24"/>
          <w:szCs w:val="24"/>
        </w:rPr>
        <w:t>ст. Раздольная, ст. Медведовская и устье (ст. Роговская).</w:t>
      </w:r>
    </w:p>
    <w:p w:rsidR="00A152A0" w:rsidRDefault="00A152A0" w:rsidP="008B08D9">
      <w:pPr>
        <w:spacing w:line="228" w:lineRule="auto"/>
        <w:ind w:firstLine="709"/>
        <w:jc w:val="both"/>
        <w:rPr>
          <w:sz w:val="24"/>
          <w:szCs w:val="24"/>
        </w:rPr>
      </w:pPr>
    </w:p>
    <w:p w:rsidR="002F6B3F" w:rsidRDefault="004672B5" w:rsidP="004672B5">
      <w:pPr>
        <w:spacing w:line="228" w:lineRule="auto"/>
        <w:ind w:firstLine="425"/>
        <w:contextualSpacing/>
        <w:jc w:val="both"/>
        <w:rPr>
          <w:sz w:val="24"/>
          <w:szCs w:val="24"/>
        </w:rPr>
      </w:pPr>
      <w:proofErr w:type="gramStart"/>
      <w:r w:rsidRPr="004672B5">
        <w:rPr>
          <w:sz w:val="24"/>
          <w:szCs w:val="24"/>
        </w:rPr>
        <w:t xml:space="preserve">По </w:t>
      </w:r>
      <w:r>
        <w:rPr>
          <w:sz w:val="24"/>
          <w:szCs w:val="24"/>
        </w:rPr>
        <w:t xml:space="preserve">результатам проведенных в сентябре 2013 года лабораторных исследований </w:t>
      </w:r>
      <w:r w:rsidRPr="004672B5">
        <w:rPr>
          <w:sz w:val="24"/>
          <w:szCs w:val="24"/>
        </w:rPr>
        <w:t xml:space="preserve">проб воды рек Ея и Сосыка выявлено превышение установленных нормативов качества следующих загрязняющих веществ – магний, марганец, медь, цинк, сульфаты, ХПК, БПК-5, </w:t>
      </w:r>
      <w:r>
        <w:rPr>
          <w:sz w:val="24"/>
          <w:szCs w:val="24"/>
        </w:rPr>
        <w:t>в устьевых участках рек хлориды, в пробах воды и донных отложений оросительных рисовых систем остаточных содержаний пестицидов (ХОП и ФОП) не обнаружено.</w:t>
      </w:r>
      <w:proofErr w:type="gramEnd"/>
    </w:p>
    <w:p w:rsidR="008B08D9" w:rsidRDefault="008B08D9" w:rsidP="008B08D9">
      <w:pPr>
        <w:spacing w:line="228" w:lineRule="auto"/>
        <w:ind w:left="360"/>
        <w:rPr>
          <w:sz w:val="24"/>
          <w:szCs w:val="24"/>
        </w:rPr>
      </w:pPr>
    </w:p>
    <w:p w:rsidR="002906FA" w:rsidRDefault="008B08D9" w:rsidP="00755C55">
      <w:pPr>
        <w:pStyle w:val="a9"/>
        <w:numPr>
          <w:ilvl w:val="0"/>
          <w:numId w:val="20"/>
        </w:numPr>
        <w:spacing w:after="0" w:line="240" w:lineRule="auto"/>
        <w:ind w:left="0" w:firstLine="709"/>
        <w:contextualSpacing/>
        <w:jc w:val="both"/>
        <w:rPr>
          <w:rFonts w:ascii="Times New Roman" w:hAnsi="Times New Roman" w:cs="Times New Roman"/>
          <w:sz w:val="24"/>
          <w:szCs w:val="24"/>
        </w:rPr>
      </w:pPr>
      <w:r w:rsidRPr="00755C55">
        <w:rPr>
          <w:rFonts w:ascii="Times New Roman" w:hAnsi="Times New Roman" w:cs="Times New Roman"/>
          <w:sz w:val="24"/>
          <w:szCs w:val="24"/>
        </w:rPr>
        <w:t xml:space="preserve">В сентябре 2013 года, по государственному заданию (раздел </w:t>
      </w:r>
      <w:r w:rsidRPr="00755C55">
        <w:rPr>
          <w:rFonts w:ascii="Times New Roman" w:hAnsi="Times New Roman" w:cs="Times New Roman"/>
          <w:sz w:val="24"/>
          <w:szCs w:val="24"/>
          <w:lang w:val="en-US"/>
        </w:rPr>
        <w:t>II</w:t>
      </w:r>
      <w:r w:rsidRPr="00755C55">
        <w:rPr>
          <w:rFonts w:ascii="Times New Roman" w:hAnsi="Times New Roman" w:cs="Times New Roman"/>
          <w:sz w:val="24"/>
          <w:szCs w:val="24"/>
        </w:rPr>
        <w:t xml:space="preserve">):  </w:t>
      </w:r>
      <w:proofErr w:type="gramStart"/>
      <w:r w:rsidRPr="00755C55">
        <w:rPr>
          <w:rFonts w:ascii="Times New Roman" w:hAnsi="Times New Roman" w:cs="Times New Roman"/>
          <w:sz w:val="24"/>
          <w:szCs w:val="24"/>
        </w:rPr>
        <w:t>«Проведение инструментально-аналитического контроля источников загрязнения окружающей среды и состояния компонентов природной среды в целях реализации Уполномоченным органом полномочий по осуществлению функций государственного экологического надзора», произведен выезд специалистов ГБУ КК «КИАЦЭМ», отбор проб компонентов окружающей среды по 1</w:t>
      </w:r>
      <w:r w:rsidR="00755C55" w:rsidRPr="00755C55">
        <w:rPr>
          <w:rFonts w:ascii="Times New Roman" w:hAnsi="Times New Roman" w:cs="Times New Roman"/>
          <w:sz w:val="24"/>
          <w:szCs w:val="24"/>
        </w:rPr>
        <w:t>2</w:t>
      </w:r>
      <w:r w:rsidRPr="00755C55">
        <w:rPr>
          <w:rFonts w:ascii="Times New Roman" w:hAnsi="Times New Roman" w:cs="Times New Roman"/>
          <w:sz w:val="24"/>
          <w:szCs w:val="24"/>
        </w:rPr>
        <w:t xml:space="preserve"> заявкам управления государственного экологического надзора министерства природных ресурсов Краснодарского края, в </w:t>
      </w:r>
      <w:proofErr w:type="spellStart"/>
      <w:r w:rsidRPr="00755C55">
        <w:rPr>
          <w:rFonts w:ascii="Times New Roman" w:hAnsi="Times New Roman" w:cs="Times New Roman"/>
          <w:sz w:val="24"/>
          <w:szCs w:val="24"/>
        </w:rPr>
        <w:t>т.ч</w:t>
      </w:r>
      <w:proofErr w:type="spellEnd"/>
      <w:r w:rsidR="00670716" w:rsidRPr="00755C55">
        <w:rPr>
          <w:rFonts w:ascii="Times New Roman" w:hAnsi="Times New Roman" w:cs="Times New Roman"/>
          <w:sz w:val="24"/>
          <w:szCs w:val="24"/>
        </w:rPr>
        <w:t>.</w:t>
      </w:r>
      <w:r w:rsidRPr="00755C55">
        <w:rPr>
          <w:rFonts w:ascii="Times New Roman" w:hAnsi="Times New Roman" w:cs="Times New Roman"/>
          <w:sz w:val="24"/>
          <w:szCs w:val="24"/>
        </w:rPr>
        <w:t xml:space="preserve">: </w:t>
      </w:r>
      <w:r w:rsidR="00755C55" w:rsidRPr="00755C55">
        <w:rPr>
          <w:rFonts w:ascii="Times New Roman" w:hAnsi="Times New Roman" w:cs="Times New Roman"/>
          <w:sz w:val="24"/>
          <w:szCs w:val="24"/>
        </w:rPr>
        <w:t>на территории свалки ТБО, расположенной в 1300 м юго-з</w:t>
      </w:r>
      <w:bookmarkStart w:id="0" w:name="_GoBack"/>
      <w:bookmarkEnd w:id="0"/>
      <w:r w:rsidR="00755C55" w:rsidRPr="00755C55">
        <w:rPr>
          <w:rFonts w:ascii="Times New Roman" w:hAnsi="Times New Roman" w:cs="Times New Roman"/>
          <w:sz w:val="24"/>
          <w:szCs w:val="24"/>
        </w:rPr>
        <w:t>ападнее окраины</w:t>
      </w:r>
      <w:proofErr w:type="gramEnd"/>
      <w:r w:rsidR="00755C55" w:rsidRPr="00755C55">
        <w:rPr>
          <w:rFonts w:ascii="Times New Roman" w:hAnsi="Times New Roman" w:cs="Times New Roman"/>
          <w:sz w:val="24"/>
          <w:szCs w:val="24"/>
        </w:rPr>
        <w:t xml:space="preserve"> ст. Медведовская </w:t>
      </w:r>
      <w:proofErr w:type="spellStart"/>
      <w:r w:rsidR="00755C55" w:rsidRPr="00755C55">
        <w:rPr>
          <w:rFonts w:ascii="Times New Roman" w:hAnsi="Times New Roman" w:cs="Times New Roman"/>
          <w:sz w:val="24"/>
          <w:szCs w:val="24"/>
        </w:rPr>
        <w:t>Тимашевского</w:t>
      </w:r>
      <w:proofErr w:type="spellEnd"/>
      <w:r w:rsidR="00755C55" w:rsidRPr="00755C55">
        <w:rPr>
          <w:rFonts w:ascii="Times New Roman" w:hAnsi="Times New Roman" w:cs="Times New Roman"/>
          <w:sz w:val="24"/>
          <w:szCs w:val="24"/>
        </w:rPr>
        <w:t xml:space="preserve"> района, на территории свалки ТБО, расположенной на юго-восточной окраине ст. Новокорсунской </w:t>
      </w:r>
      <w:proofErr w:type="spellStart"/>
      <w:r w:rsidR="00755C55" w:rsidRPr="00755C55">
        <w:rPr>
          <w:rFonts w:ascii="Times New Roman" w:hAnsi="Times New Roman" w:cs="Times New Roman"/>
          <w:sz w:val="24"/>
          <w:szCs w:val="24"/>
        </w:rPr>
        <w:t>Тимашевского</w:t>
      </w:r>
      <w:proofErr w:type="spellEnd"/>
      <w:r w:rsidR="00755C55" w:rsidRPr="00755C55">
        <w:rPr>
          <w:rFonts w:ascii="Times New Roman" w:hAnsi="Times New Roman" w:cs="Times New Roman"/>
          <w:sz w:val="24"/>
          <w:szCs w:val="24"/>
        </w:rPr>
        <w:t xml:space="preserve"> района, на территории свалки ТБО МУП «Полигон» с. </w:t>
      </w:r>
      <w:proofErr w:type="spellStart"/>
      <w:r w:rsidR="00755C55" w:rsidRPr="00755C55">
        <w:rPr>
          <w:rFonts w:ascii="Times New Roman" w:hAnsi="Times New Roman" w:cs="Times New Roman"/>
          <w:sz w:val="24"/>
          <w:szCs w:val="24"/>
        </w:rPr>
        <w:t>Глебовка</w:t>
      </w:r>
      <w:proofErr w:type="spellEnd"/>
      <w:r w:rsidR="00755C55" w:rsidRPr="00755C55">
        <w:rPr>
          <w:rFonts w:ascii="Times New Roman" w:hAnsi="Times New Roman" w:cs="Times New Roman"/>
          <w:sz w:val="24"/>
          <w:szCs w:val="24"/>
        </w:rPr>
        <w:t>, на территории свалки ТБО, расположенной по адресу г. Краснодар, ул. Воронежская, 59, на территор</w:t>
      </w:r>
      <w:proofErr w:type="gramStart"/>
      <w:r w:rsidR="00755C55" w:rsidRPr="00755C55">
        <w:rPr>
          <w:rFonts w:ascii="Times New Roman" w:hAnsi="Times New Roman" w:cs="Times New Roman"/>
          <w:sz w:val="24"/>
          <w:szCs w:val="24"/>
        </w:rPr>
        <w:t>ии ООО</w:t>
      </w:r>
      <w:proofErr w:type="gramEnd"/>
      <w:r w:rsidR="00755C55" w:rsidRPr="00755C55">
        <w:rPr>
          <w:rFonts w:ascii="Times New Roman" w:hAnsi="Times New Roman" w:cs="Times New Roman"/>
          <w:sz w:val="24"/>
          <w:szCs w:val="24"/>
        </w:rPr>
        <w:t xml:space="preserve"> «</w:t>
      </w:r>
      <w:proofErr w:type="spellStart"/>
      <w:r w:rsidR="00755C55" w:rsidRPr="00755C55">
        <w:rPr>
          <w:rFonts w:ascii="Times New Roman" w:hAnsi="Times New Roman" w:cs="Times New Roman"/>
          <w:sz w:val="24"/>
          <w:szCs w:val="24"/>
        </w:rPr>
        <w:t>Солли</w:t>
      </w:r>
      <w:proofErr w:type="spellEnd"/>
      <w:r w:rsidR="00755C55" w:rsidRPr="00755C55">
        <w:rPr>
          <w:rFonts w:ascii="Times New Roman" w:hAnsi="Times New Roman" w:cs="Times New Roman"/>
          <w:sz w:val="24"/>
          <w:szCs w:val="24"/>
        </w:rPr>
        <w:t xml:space="preserve">» г. Краснодар, </w:t>
      </w:r>
    </w:p>
    <w:p w:rsidR="002906FA" w:rsidRDefault="002906FA" w:rsidP="002906FA">
      <w:pPr>
        <w:contextualSpacing/>
        <w:jc w:val="both"/>
        <w:rPr>
          <w:sz w:val="24"/>
          <w:szCs w:val="24"/>
        </w:rPr>
      </w:pPr>
    </w:p>
    <w:p w:rsidR="002906FA" w:rsidRDefault="002906FA" w:rsidP="002906FA">
      <w:pPr>
        <w:contextualSpacing/>
        <w:jc w:val="both"/>
        <w:rPr>
          <w:sz w:val="24"/>
          <w:szCs w:val="24"/>
        </w:rPr>
      </w:pPr>
    </w:p>
    <w:p w:rsidR="002906FA" w:rsidRDefault="002906FA" w:rsidP="002906FA">
      <w:pPr>
        <w:contextualSpacing/>
        <w:jc w:val="both"/>
        <w:rPr>
          <w:sz w:val="24"/>
          <w:szCs w:val="24"/>
        </w:rPr>
      </w:pPr>
    </w:p>
    <w:p w:rsidR="002906FA" w:rsidRDefault="002906FA" w:rsidP="002906FA">
      <w:pPr>
        <w:contextualSpacing/>
        <w:jc w:val="both"/>
        <w:rPr>
          <w:sz w:val="24"/>
          <w:szCs w:val="24"/>
        </w:rPr>
      </w:pPr>
    </w:p>
    <w:p w:rsidR="002906FA" w:rsidRDefault="002906FA" w:rsidP="002906FA">
      <w:pPr>
        <w:contextualSpacing/>
        <w:jc w:val="both"/>
        <w:rPr>
          <w:sz w:val="24"/>
          <w:szCs w:val="24"/>
        </w:rPr>
      </w:pPr>
    </w:p>
    <w:p w:rsidR="00755C55" w:rsidRPr="002906FA" w:rsidRDefault="00755C55" w:rsidP="002906FA">
      <w:pPr>
        <w:contextualSpacing/>
        <w:jc w:val="both"/>
        <w:rPr>
          <w:sz w:val="24"/>
          <w:szCs w:val="24"/>
        </w:rPr>
      </w:pPr>
      <w:proofErr w:type="gramStart"/>
      <w:r w:rsidRPr="002906FA">
        <w:rPr>
          <w:sz w:val="24"/>
          <w:szCs w:val="24"/>
        </w:rPr>
        <w:lastRenderedPageBreak/>
        <w:t xml:space="preserve">на территории ИП Саркисов М.Э. г. Краснодар, на территории свалки ТБО ОАО «Мусороуборочная компания» г. Краснодар х. </w:t>
      </w:r>
      <w:proofErr w:type="spellStart"/>
      <w:r w:rsidRPr="002906FA">
        <w:rPr>
          <w:sz w:val="24"/>
          <w:szCs w:val="24"/>
        </w:rPr>
        <w:t>Копанской</w:t>
      </w:r>
      <w:proofErr w:type="spellEnd"/>
      <w:r w:rsidRPr="002906FA">
        <w:rPr>
          <w:sz w:val="24"/>
          <w:szCs w:val="24"/>
        </w:rPr>
        <w:t>, на территории ООО фирма «</w:t>
      </w:r>
      <w:proofErr w:type="spellStart"/>
      <w:r w:rsidRPr="002906FA">
        <w:rPr>
          <w:sz w:val="24"/>
          <w:szCs w:val="24"/>
        </w:rPr>
        <w:t>ЛиК</w:t>
      </w:r>
      <w:proofErr w:type="spellEnd"/>
      <w:r w:rsidRPr="002906FA">
        <w:rPr>
          <w:sz w:val="24"/>
          <w:szCs w:val="24"/>
        </w:rPr>
        <w:t xml:space="preserve">» г. Туапсе, на территории ООО «Славянские тепловые сети» г. Славянск-на-Кубани, на территории МО Динской район ст. </w:t>
      </w:r>
      <w:proofErr w:type="spellStart"/>
      <w:r w:rsidRPr="002906FA">
        <w:rPr>
          <w:sz w:val="24"/>
          <w:szCs w:val="24"/>
        </w:rPr>
        <w:t>Новотитаровская</w:t>
      </w:r>
      <w:proofErr w:type="spellEnd"/>
      <w:r w:rsidRPr="002906FA">
        <w:rPr>
          <w:sz w:val="24"/>
          <w:szCs w:val="24"/>
        </w:rPr>
        <w:t xml:space="preserve">, на территории ИП Арутюнян Г.Г. г. Тимашевск, на территории ИП </w:t>
      </w:r>
      <w:proofErr w:type="spellStart"/>
      <w:r w:rsidRPr="002906FA">
        <w:rPr>
          <w:sz w:val="24"/>
          <w:szCs w:val="24"/>
        </w:rPr>
        <w:t>Мартиросян</w:t>
      </w:r>
      <w:proofErr w:type="spellEnd"/>
      <w:r w:rsidRPr="002906FA">
        <w:rPr>
          <w:sz w:val="24"/>
          <w:szCs w:val="24"/>
        </w:rPr>
        <w:t xml:space="preserve"> В.П..</w:t>
      </w:r>
      <w:proofErr w:type="gramEnd"/>
    </w:p>
    <w:p w:rsidR="00665A43" w:rsidRDefault="00665A43" w:rsidP="00E05AB7">
      <w:pPr>
        <w:pStyle w:val="a9"/>
        <w:spacing w:after="0" w:line="228" w:lineRule="auto"/>
        <w:ind w:left="0" w:firstLine="709"/>
        <w:jc w:val="both"/>
        <w:rPr>
          <w:rFonts w:ascii="Times New Roman" w:hAnsi="Times New Roman" w:cs="Times New Roman"/>
          <w:color w:val="FF0000"/>
          <w:sz w:val="24"/>
          <w:szCs w:val="24"/>
        </w:rPr>
      </w:pPr>
    </w:p>
    <w:p w:rsidR="00665A43" w:rsidRDefault="00665A43" w:rsidP="00665A43">
      <w:pPr>
        <w:pStyle w:val="a9"/>
        <w:spacing w:after="0" w:line="228" w:lineRule="auto"/>
        <w:ind w:left="0"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665A43">
        <w:rPr>
          <w:rFonts w:ascii="Times New Roman" w:hAnsi="Times New Roman" w:cs="Times New Roman"/>
          <w:b/>
          <w:color w:val="000000" w:themeColor="text1"/>
          <w:sz w:val="24"/>
          <w:szCs w:val="24"/>
        </w:rPr>
        <w:t>роведени</w:t>
      </w:r>
      <w:r>
        <w:rPr>
          <w:rFonts w:ascii="Times New Roman" w:hAnsi="Times New Roman" w:cs="Times New Roman"/>
          <w:b/>
          <w:color w:val="000000" w:themeColor="text1"/>
          <w:sz w:val="24"/>
          <w:szCs w:val="24"/>
        </w:rPr>
        <w:t>е</w:t>
      </w:r>
      <w:r w:rsidRPr="00665A43">
        <w:rPr>
          <w:rFonts w:ascii="Times New Roman" w:hAnsi="Times New Roman" w:cs="Times New Roman"/>
          <w:b/>
          <w:color w:val="000000" w:themeColor="text1"/>
          <w:sz w:val="24"/>
          <w:szCs w:val="24"/>
        </w:rPr>
        <w:t xml:space="preserve">  научно-практической конференции</w:t>
      </w:r>
    </w:p>
    <w:p w:rsidR="00665A43" w:rsidRDefault="00665A43" w:rsidP="00665A43">
      <w:pPr>
        <w:pStyle w:val="a9"/>
        <w:spacing w:after="0" w:line="228" w:lineRule="auto"/>
        <w:ind w:left="0" w:firstLine="709"/>
        <w:jc w:val="center"/>
        <w:rPr>
          <w:rFonts w:ascii="Times New Roman" w:hAnsi="Times New Roman" w:cs="Times New Roman"/>
          <w:b/>
          <w:color w:val="000000" w:themeColor="text1"/>
          <w:sz w:val="24"/>
          <w:szCs w:val="24"/>
        </w:rPr>
      </w:pPr>
      <w:r w:rsidRPr="00665A43">
        <w:rPr>
          <w:rFonts w:ascii="Times New Roman" w:hAnsi="Times New Roman" w:cs="Times New Roman"/>
          <w:b/>
          <w:color w:val="000000" w:themeColor="text1"/>
          <w:sz w:val="24"/>
          <w:szCs w:val="24"/>
        </w:rPr>
        <w:t>«Охрана окружающей среды и обеспечение экологической безопасности»</w:t>
      </w:r>
    </w:p>
    <w:p w:rsidR="00665A43" w:rsidRDefault="00665A43" w:rsidP="00E05AB7">
      <w:pPr>
        <w:pStyle w:val="a9"/>
        <w:spacing w:after="0" w:line="228" w:lineRule="auto"/>
        <w:ind w:left="0" w:firstLine="709"/>
        <w:jc w:val="both"/>
        <w:rPr>
          <w:rFonts w:ascii="Times New Roman" w:hAnsi="Times New Roman" w:cs="Times New Roman"/>
          <w:b/>
          <w:color w:val="000000" w:themeColor="text1"/>
          <w:sz w:val="24"/>
          <w:szCs w:val="24"/>
        </w:rPr>
      </w:pPr>
    </w:p>
    <w:p w:rsidR="00665A43" w:rsidRPr="00665A43" w:rsidRDefault="00665A43" w:rsidP="00665A43">
      <w:pPr>
        <w:spacing w:line="240" w:lineRule="atLeast"/>
        <w:ind w:firstLine="709"/>
        <w:jc w:val="both"/>
        <w:rPr>
          <w:sz w:val="24"/>
          <w:szCs w:val="24"/>
        </w:rPr>
      </w:pPr>
      <w:r w:rsidRPr="00665A43">
        <w:rPr>
          <w:sz w:val="24"/>
          <w:szCs w:val="24"/>
        </w:rPr>
        <w:t xml:space="preserve">В соответствии с государственным заданием, </w:t>
      </w:r>
      <w:r w:rsidR="004672B5">
        <w:rPr>
          <w:sz w:val="24"/>
          <w:szCs w:val="24"/>
        </w:rPr>
        <w:t>3-</w:t>
      </w:r>
      <w:r w:rsidRPr="00665A43">
        <w:rPr>
          <w:sz w:val="24"/>
          <w:szCs w:val="24"/>
        </w:rPr>
        <w:t xml:space="preserve">4 октября 2013 года </w:t>
      </w:r>
      <w:r w:rsidR="004672B5" w:rsidRPr="00665A43">
        <w:rPr>
          <w:sz w:val="24"/>
          <w:szCs w:val="24"/>
        </w:rPr>
        <w:t xml:space="preserve">ГБУ КК «КИАЦЭМ» </w:t>
      </w:r>
      <w:r w:rsidR="004672B5">
        <w:rPr>
          <w:sz w:val="24"/>
          <w:szCs w:val="24"/>
        </w:rPr>
        <w:t xml:space="preserve">была проведена </w:t>
      </w:r>
      <w:r w:rsidRPr="00665A43">
        <w:rPr>
          <w:sz w:val="24"/>
          <w:szCs w:val="24"/>
        </w:rPr>
        <w:t>научно-практическ</w:t>
      </w:r>
      <w:r w:rsidR="004672B5">
        <w:rPr>
          <w:sz w:val="24"/>
          <w:szCs w:val="24"/>
        </w:rPr>
        <w:t>ая</w:t>
      </w:r>
      <w:r w:rsidRPr="00665A43">
        <w:rPr>
          <w:sz w:val="24"/>
          <w:szCs w:val="24"/>
        </w:rPr>
        <w:t xml:space="preserve"> конференци</w:t>
      </w:r>
      <w:r w:rsidR="004672B5">
        <w:rPr>
          <w:sz w:val="24"/>
          <w:szCs w:val="24"/>
        </w:rPr>
        <w:t>я</w:t>
      </w:r>
      <w:r w:rsidRPr="00665A43">
        <w:rPr>
          <w:sz w:val="24"/>
          <w:szCs w:val="24"/>
        </w:rPr>
        <w:t xml:space="preserve"> «Охрана окружающей среды и обеспечение экологической безопасности».</w:t>
      </w:r>
    </w:p>
    <w:p w:rsidR="00665A43" w:rsidRDefault="00195607" w:rsidP="00665A43">
      <w:pPr>
        <w:spacing w:line="240" w:lineRule="atLeast"/>
        <w:ind w:firstLine="709"/>
        <w:jc w:val="both"/>
        <w:rPr>
          <w:sz w:val="24"/>
          <w:szCs w:val="24"/>
        </w:rPr>
      </w:pPr>
      <w:r>
        <w:rPr>
          <w:noProof/>
          <w:sz w:val="24"/>
          <w:szCs w:val="24"/>
        </w:rPr>
        <w:drawing>
          <wp:anchor distT="0" distB="0" distL="114300" distR="114300" simplePos="0" relativeHeight="251661312" behindDoc="0" locked="0" layoutInCell="1" allowOverlap="1" wp14:anchorId="636D9FC4" wp14:editId="7F971DAE">
            <wp:simplePos x="0" y="0"/>
            <wp:positionH relativeFrom="column">
              <wp:posOffset>5965190</wp:posOffset>
            </wp:positionH>
            <wp:positionV relativeFrom="paragraph">
              <wp:posOffset>556895</wp:posOffset>
            </wp:positionV>
            <wp:extent cx="2613025" cy="1748790"/>
            <wp:effectExtent l="0" t="0" r="0" b="381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3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3025" cy="1748790"/>
                    </a:xfrm>
                    <a:prstGeom prst="rect">
                      <a:avLst/>
                    </a:prstGeom>
                  </pic:spPr>
                </pic:pic>
              </a:graphicData>
            </a:graphic>
            <wp14:sizeRelH relativeFrom="page">
              <wp14:pctWidth>0</wp14:pctWidth>
            </wp14:sizeRelH>
            <wp14:sizeRelV relativeFrom="page">
              <wp14:pctHeight>0</wp14:pctHeight>
            </wp14:sizeRelV>
          </wp:anchor>
        </w:drawing>
      </w:r>
      <w:r w:rsidR="004672B5">
        <w:rPr>
          <w:sz w:val="24"/>
          <w:szCs w:val="24"/>
        </w:rPr>
        <w:t>В п</w:t>
      </w:r>
      <w:r w:rsidR="00665A43" w:rsidRPr="00665A43">
        <w:rPr>
          <w:sz w:val="24"/>
          <w:szCs w:val="24"/>
        </w:rPr>
        <w:t>рограмм</w:t>
      </w:r>
      <w:r w:rsidR="004672B5">
        <w:rPr>
          <w:sz w:val="24"/>
          <w:szCs w:val="24"/>
        </w:rPr>
        <w:t>у</w:t>
      </w:r>
      <w:r w:rsidR="00665A43" w:rsidRPr="00665A43">
        <w:rPr>
          <w:sz w:val="24"/>
          <w:szCs w:val="24"/>
        </w:rPr>
        <w:t xml:space="preserve"> конференции </w:t>
      </w:r>
      <w:r w:rsidR="004672B5">
        <w:rPr>
          <w:sz w:val="24"/>
          <w:szCs w:val="24"/>
        </w:rPr>
        <w:t>входили</w:t>
      </w:r>
      <w:r w:rsidR="00665A43" w:rsidRPr="00665A43">
        <w:rPr>
          <w:sz w:val="24"/>
          <w:szCs w:val="24"/>
        </w:rPr>
        <w:t xml:space="preserve"> выступления, доклады и сообщения, связанные с информированием общественности о реализации государственной политики в сфере охраны окружающей среды, о результатах изучения, использования, воспроизводства и охраны природных ресурсов на территории Краснодарского края</w:t>
      </w:r>
      <w:r w:rsidR="00665A43">
        <w:rPr>
          <w:sz w:val="24"/>
          <w:szCs w:val="24"/>
        </w:rPr>
        <w:t xml:space="preserve">, а также о формировании </w:t>
      </w:r>
      <w:r w:rsidR="00665A43" w:rsidRPr="008B08D9">
        <w:rPr>
          <w:sz w:val="24"/>
          <w:szCs w:val="24"/>
        </w:rPr>
        <w:t>единой территориальной системы экологического мониторинга</w:t>
      </w:r>
      <w:r w:rsidR="00665A43">
        <w:rPr>
          <w:sz w:val="24"/>
          <w:szCs w:val="24"/>
        </w:rPr>
        <w:t xml:space="preserve"> (ЕТСЭМ) Краснодарского края</w:t>
      </w:r>
      <w:r w:rsidR="00665A43" w:rsidRPr="00665A43">
        <w:rPr>
          <w:sz w:val="24"/>
          <w:szCs w:val="24"/>
        </w:rPr>
        <w:t>.</w:t>
      </w:r>
    </w:p>
    <w:p w:rsidR="00767C3B" w:rsidRPr="00767C3B" w:rsidRDefault="00767C3B" w:rsidP="00767C3B">
      <w:pPr>
        <w:spacing w:line="240" w:lineRule="atLeast"/>
        <w:ind w:firstLine="709"/>
        <w:jc w:val="both"/>
        <w:rPr>
          <w:sz w:val="24"/>
          <w:szCs w:val="24"/>
        </w:rPr>
      </w:pPr>
      <w:r>
        <w:rPr>
          <w:sz w:val="24"/>
          <w:szCs w:val="24"/>
        </w:rPr>
        <w:t xml:space="preserve">3 октября участникам конференции предлагалось ознакомиться </w:t>
      </w:r>
      <w:r w:rsidRPr="00767C3B">
        <w:rPr>
          <w:sz w:val="24"/>
          <w:szCs w:val="24"/>
        </w:rPr>
        <w:t>с демонстрационными материалами и лабораторией ГБУ КК «КИАЦЭМ»:</w:t>
      </w:r>
    </w:p>
    <w:p w:rsidR="00767C3B" w:rsidRPr="00767C3B" w:rsidRDefault="00767C3B" w:rsidP="00767C3B">
      <w:pPr>
        <w:spacing w:line="240" w:lineRule="atLeast"/>
        <w:ind w:firstLine="709"/>
        <w:jc w:val="both"/>
        <w:rPr>
          <w:sz w:val="24"/>
          <w:szCs w:val="24"/>
        </w:rPr>
      </w:pPr>
      <w:r w:rsidRPr="00767C3B">
        <w:rPr>
          <w:sz w:val="24"/>
          <w:szCs w:val="24"/>
        </w:rPr>
        <w:t>стационарная лаборатория и приборный парк;</w:t>
      </w:r>
    </w:p>
    <w:p w:rsidR="00767C3B" w:rsidRPr="00767C3B" w:rsidRDefault="00767C3B" w:rsidP="00767C3B">
      <w:pPr>
        <w:spacing w:line="240" w:lineRule="atLeast"/>
        <w:ind w:firstLine="709"/>
        <w:jc w:val="both"/>
        <w:rPr>
          <w:sz w:val="24"/>
          <w:szCs w:val="24"/>
        </w:rPr>
      </w:pPr>
      <w:r w:rsidRPr="00767C3B">
        <w:rPr>
          <w:sz w:val="24"/>
          <w:szCs w:val="24"/>
        </w:rPr>
        <w:t>передвижной экологический пост на базе автомобиля Форд транзит;</w:t>
      </w:r>
    </w:p>
    <w:p w:rsidR="00767C3B" w:rsidRPr="00767C3B" w:rsidRDefault="00767C3B" w:rsidP="00767C3B">
      <w:pPr>
        <w:spacing w:line="240" w:lineRule="atLeast"/>
        <w:ind w:firstLine="709"/>
        <w:jc w:val="both"/>
        <w:rPr>
          <w:sz w:val="24"/>
          <w:szCs w:val="24"/>
        </w:rPr>
      </w:pPr>
      <w:r w:rsidRPr="00767C3B">
        <w:rPr>
          <w:sz w:val="24"/>
          <w:szCs w:val="24"/>
        </w:rPr>
        <w:t>передвижная экологическая лаборатория на базе автомобиля Форд транзит;</w:t>
      </w:r>
    </w:p>
    <w:p w:rsidR="00767C3B" w:rsidRPr="00767C3B" w:rsidRDefault="00767C3B" w:rsidP="00767C3B">
      <w:pPr>
        <w:spacing w:line="240" w:lineRule="atLeast"/>
        <w:ind w:firstLine="709"/>
        <w:jc w:val="both"/>
        <w:rPr>
          <w:sz w:val="24"/>
          <w:szCs w:val="24"/>
        </w:rPr>
      </w:pPr>
      <w:r w:rsidRPr="00767C3B">
        <w:rPr>
          <w:sz w:val="24"/>
          <w:szCs w:val="24"/>
        </w:rPr>
        <w:t xml:space="preserve">элементы единой территориальной системы экологического мониторинга (ЕТСЭМ): </w:t>
      </w:r>
    </w:p>
    <w:p w:rsidR="00767C3B" w:rsidRPr="00767C3B" w:rsidRDefault="00767C3B" w:rsidP="00767C3B">
      <w:pPr>
        <w:spacing w:line="240" w:lineRule="atLeast"/>
        <w:ind w:firstLine="709"/>
        <w:jc w:val="both"/>
        <w:rPr>
          <w:sz w:val="24"/>
          <w:szCs w:val="24"/>
        </w:rPr>
      </w:pPr>
      <w:r w:rsidRPr="00767C3B">
        <w:rPr>
          <w:sz w:val="24"/>
          <w:szCs w:val="24"/>
        </w:rPr>
        <w:t>территориальная система наблюдений за состоянием окружающей среды;</w:t>
      </w:r>
    </w:p>
    <w:p w:rsidR="00767C3B" w:rsidRPr="00767C3B" w:rsidRDefault="006D4E69" w:rsidP="00767C3B">
      <w:pPr>
        <w:spacing w:line="240" w:lineRule="atLeast"/>
        <w:ind w:firstLine="709"/>
        <w:jc w:val="both"/>
        <w:rPr>
          <w:sz w:val="24"/>
          <w:szCs w:val="24"/>
        </w:rPr>
      </w:pPr>
      <w:r>
        <w:rPr>
          <w:noProof/>
          <w:sz w:val="24"/>
          <w:szCs w:val="24"/>
        </w:rPr>
        <w:drawing>
          <wp:anchor distT="0" distB="0" distL="114300" distR="114300" simplePos="0" relativeHeight="251658240" behindDoc="0" locked="0" layoutInCell="1" allowOverlap="1" wp14:anchorId="71B808BC" wp14:editId="3C33FB06">
            <wp:simplePos x="0" y="0"/>
            <wp:positionH relativeFrom="column">
              <wp:posOffset>110490</wp:posOffset>
            </wp:positionH>
            <wp:positionV relativeFrom="paragraph">
              <wp:posOffset>275590</wp:posOffset>
            </wp:positionV>
            <wp:extent cx="4097655" cy="245935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97655" cy="2459355"/>
                    </a:xfrm>
                    <a:prstGeom prst="rect">
                      <a:avLst/>
                    </a:prstGeom>
                  </pic:spPr>
                </pic:pic>
              </a:graphicData>
            </a:graphic>
            <wp14:sizeRelH relativeFrom="page">
              <wp14:pctWidth>0</wp14:pctWidth>
            </wp14:sizeRelH>
            <wp14:sizeRelV relativeFrom="page">
              <wp14:pctHeight>0</wp14:pctHeight>
            </wp14:sizeRelV>
          </wp:anchor>
        </w:drawing>
      </w:r>
      <w:r w:rsidR="00767C3B" w:rsidRPr="00767C3B">
        <w:rPr>
          <w:sz w:val="24"/>
          <w:szCs w:val="24"/>
        </w:rPr>
        <w:t>программное обеспечение «Информационно-аналитическая система экологического мониторинга» (ИАСЭМ);</w:t>
      </w:r>
    </w:p>
    <w:p w:rsidR="00767C3B" w:rsidRPr="00767C3B" w:rsidRDefault="00767C3B" w:rsidP="00767C3B">
      <w:pPr>
        <w:spacing w:line="240" w:lineRule="atLeast"/>
        <w:ind w:firstLine="709"/>
        <w:jc w:val="both"/>
        <w:rPr>
          <w:sz w:val="24"/>
          <w:szCs w:val="24"/>
        </w:rPr>
      </w:pPr>
      <w:r w:rsidRPr="00767C3B">
        <w:rPr>
          <w:sz w:val="24"/>
          <w:szCs w:val="24"/>
        </w:rPr>
        <w:t>использование ГИС-технологий для обработки и визуализации данных мониторинга;</w:t>
      </w:r>
    </w:p>
    <w:p w:rsidR="00C55D7C" w:rsidRDefault="00767C3B" w:rsidP="00C55D7C">
      <w:pPr>
        <w:spacing w:line="240" w:lineRule="atLeast"/>
        <w:ind w:firstLine="709"/>
        <w:jc w:val="both"/>
        <w:rPr>
          <w:sz w:val="24"/>
          <w:szCs w:val="24"/>
        </w:rPr>
      </w:pPr>
      <w:r>
        <w:rPr>
          <w:sz w:val="24"/>
          <w:szCs w:val="24"/>
        </w:rPr>
        <w:t xml:space="preserve">4 октября </w:t>
      </w:r>
      <w:r w:rsidR="00C55D7C">
        <w:rPr>
          <w:sz w:val="24"/>
          <w:szCs w:val="24"/>
        </w:rPr>
        <w:t>с п</w:t>
      </w:r>
      <w:r w:rsidR="00C55D7C" w:rsidRPr="00C55D7C">
        <w:rPr>
          <w:sz w:val="24"/>
          <w:szCs w:val="24"/>
        </w:rPr>
        <w:t>риветственн</w:t>
      </w:r>
      <w:r w:rsidR="00C55D7C">
        <w:rPr>
          <w:sz w:val="24"/>
          <w:szCs w:val="24"/>
        </w:rPr>
        <w:t>ым</w:t>
      </w:r>
      <w:r w:rsidR="00C55D7C" w:rsidRPr="00C55D7C">
        <w:rPr>
          <w:sz w:val="24"/>
          <w:szCs w:val="24"/>
        </w:rPr>
        <w:t xml:space="preserve"> слово</w:t>
      </w:r>
      <w:r w:rsidR="00C55D7C">
        <w:rPr>
          <w:sz w:val="24"/>
          <w:szCs w:val="24"/>
        </w:rPr>
        <w:t>м к участникам конференции обратился</w:t>
      </w:r>
      <w:r w:rsidR="00C55D7C" w:rsidRPr="00C55D7C">
        <w:rPr>
          <w:sz w:val="24"/>
          <w:szCs w:val="24"/>
        </w:rPr>
        <w:t xml:space="preserve"> председатель комитета по вопросам использования природных ресурсов и экологической безопасности Законодательного </w:t>
      </w:r>
      <w:r w:rsidR="00095FD7">
        <w:rPr>
          <w:sz w:val="24"/>
          <w:szCs w:val="24"/>
        </w:rPr>
        <w:t>С</w:t>
      </w:r>
      <w:r w:rsidR="00C55D7C" w:rsidRPr="00C55D7C">
        <w:rPr>
          <w:sz w:val="24"/>
          <w:szCs w:val="24"/>
        </w:rPr>
        <w:t>обрания Краснодарского края Громыко Евгений Васильевич</w:t>
      </w:r>
      <w:r w:rsidR="00C55D7C">
        <w:rPr>
          <w:sz w:val="24"/>
          <w:szCs w:val="24"/>
        </w:rPr>
        <w:t>. Затем с докладом, раскрывающим роль м</w:t>
      </w:r>
      <w:r w:rsidR="00C55D7C" w:rsidRPr="00C55D7C">
        <w:rPr>
          <w:sz w:val="24"/>
          <w:szCs w:val="24"/>
        </w:rPr>
        <w:t>инистерств</w:t>
      </w:r>
      <w:r w:rsidR="00C55D7C">
        <w:rPr>
          <w:sz w:val="24"/>
          <w:szCs w:val="24"/>
        </w:rPr>
        <w:t>а</w:t>
      </w:r>
      <w:r w:rsidR="00C55D7C" w:rsidRPr="00C55D7C">
        <w:rPr>
          <w:sz w:val="24"/>
          <w:szCs w:val="24"/>
        </w:rPr>
        <w:t xml:space="preserve"> природных ресурсов Краснодарского края – как основно</w:t>
      </w:r>
      <w:r w:rsidR="00095FD7">
        <w:rPr>
          <w:sz w:val="24"/>
          <w:szCs w:val="24"/>
        </w:rPr>
        <w:t xml:space="preserve">го </w:t>
      </w:r>
      <w:r w:rsidR="00C55D7C" w:rsidRPr="00C55D7C">
        <w:rPr>
          <w:sz w:val="24"/>
          <w:szCs w:val="24"/>
        </w:rPr>
        <w:t>звен</w:t>
      </w:r>
      <w:r w:rsidR="00095FD7">
        <w:rPr>
          <w:sz w:val="24"/>
          <w:szCs w:val="24"/>
        </w:rPr>
        <w:t>а</w:t>
      </w:r>
      <w:r w:rsidR="00C55D7C" w:rsidRPr="00C55D7C">
        <w:rPr>
          <w:sz w:val="24"/>
          <w:szCs w:val="24"/>
        </w:rPr>
        <w:t xml:space="preserve"> в системе управления природопользованием и охраной окружающей среды</w:t>
      </w:r>
      <w:r w:rsidR="00C55D7C">
        <w:rPr>
          <w:sz w:val="24"/>
          <w:szCs w:val="24"/>
        </w:rPr>
        <w:t>, выступил з</w:t>
      </w:r>
      <w:r w:rsidR="00C55D7C" w:rsidRPr="00C55D7C">
        <w:rPr>
          <w:sz w:val="24"/>
          <w:szCs w:val="24"/>
        </w:rPr>
        <w:t>аместитель министра природных ресурсов Краснодарского края</w:t>
      </w:r>
      <w:r w:rsidR="00C55D7C">
        <w:rPr>
          <w:sz w:val="24"/>
          <w:szCs w:val="24"/>
        </w:rPr>
        <w:t xml:space="preserve"> </w:t>
      </w:r>
      <w:r w:rsidR="00C55D7C" w:rsidRPr="00C55D7C">
        <w:rPr>
          <w:sz w:val="24"/>
          <w:szCs w:val="24"/>
        </w:rPr>
        <w:t>Захарчук Николай Васильевич</w:t>
      </w:r>
      <w:r w:rsidR="00C55D7C">
        <w:rPr>
          <w:sz w:val="24"/>
          <w:szCs w:val="24"/>
        </w:rPr>
        <w:t>.</w:t>
      </w:r>
    </w:p>
    <w:p w:rsidR="00C55D7C" w:rsidRDefault="00F81271" w:rsidP="00C55D7C">
      <w:pPr>
        <w:spacing w:line="240" w:lineRule="atLeast"/>
        <w:ind w:firstLine="709"/>
        <w:jc w:val="both"/>
        <w:rPr>
          <w:sz w:val="24"/>
          <w:szCs w:val="28"/>
        </w:rPr>
      </w:pPr>
      <w:r>
        <w:rPr>
          <w:sz w:val="24"/>
          <w:szCs w:val="28"/>
        </w:rPr>
        <w:t xml:space="preserve">В рамках конференции </w:t>
      </w:r>
      <w:r w:rsidR="00095FD7">
        <w:rPr>
          <w:sz w:val="24"/>
          <w:szCs w:val="28"/>
        </w:rPr>
        <w:t xml:space="preserve">7 </w:t>
      </w:r>
      <w:proofErr w:type="gramStart"/>
      <w:r w:rsidR="00095FD7">
        <w:rPr>
          <w:sz w:val="24"/>
          <w:szCs w:val="28"/>
        </w:rPr>
        <w:t xml:space="preserve">специалистам, внесшим значительный вклад в развитие системы охраны окружающей </w:t>
      </w:r>
      <w:r w:rsidR="00095FD7">
        <w:rPr>
          <w:sz w:val="24"/>
          <w:szCs w:val="28"/>
        </w:rPr>
        <w:lastRenderedPageBreak/>
        <w:t xml:space="preserve">среды </w:t>
      </w:r>
      <w:r w:rsidR="00095FD7" w:rsidRPr="00095FD7">
        <w:rPr>
          <w:sz w:val="24"/>
          <w:szCs w:val="28"/>
        </w:rPr>
        <w:t xml:space="preserve">и обеспечение экологической безопасности </w:t>
      </w:r>
      <w:r w:rsidR="00095FD7">
        <w:rPr>
          <w:sz w:val="24"/>
          <w:szCs w:val="28"/>
        </w:rPr>
        <w:t xml:space="preserve">на территории Краснодарского края </w:t>
      </w:r>
      <w:r>
        <w:rPr>
          <w:sz w:val="24"/>
          <w:szCs w:val="28"/>
        </w:rPr>
        <w:t>было</w:t>
      </w:r>
      <w:proofErr w:type="gramEnd"/>
      <w:r>
        <w:rPr>
          <w:sz w:val="24"/>
          <w:szCs w:val="28"/>
        </w:rPr>
        <w:t xml:space="preserve"> п</w:t>
      </w:r>
      <w:r w:rsidRPr="00F81271">
        <w:rPr>
          <w:sz w:val="24"/>
          <w:szCs w:val="28"/>
        </w:rPr>
        <w:t>рисвоен</w:t>
      </w:r>
      <w:r>
        <w:rPr>
          <w:sz w:val="24"/>
          <w:szCs w:val="28"/>
        </w:rPr>
        <w:t>о П</w:t>
      </w:r>
      <w:r w:rsidRPr="00F81271">
        <w:rPr>
          <w:sz w:val="24"/>
          <w:szCs w:val="28"/>
        </w:rPr>
        <w:t>очетно</w:t>
      </w:r>
      <w:r>
        <w:rPr>
          <w:sz w:val="24"/>
          <w:szCs w:val="28"/>
        </w:rPr>
        <w:t>е</w:t>
      </w:r>
      <w:r w:rsidRPr="00F81271">
        <w:rPr>
          <w:sz w:val="24"/>
          <w:szCs w:val="28"/>
        </w:rPr>
        <w:t xml:space="preserve"> звани</w:t>
      </w:r>
      <w:r>
        <w:rPr>
          <w:sz w:val="24"/>
          <w:szCs w:val="28"/>
        </w:rPr>
        <w:t>е</w:t>
      </w:r>
      <w:r w:rsidRPr="00F81271">
        <w:rPr>
          <w:sz w:val="24"/>
          <w:szCs w:val="28"/>
        </w:rPr>
        <w:t xml:space="preserve"> «Заслуженный эколог Кубани»</w:t>
      </w:r>
      <w:r>
        <w:rPr>
          <w:sz w:val="24"/>
          <w:szCs w:val="28"/>
        </w:rPr>
        <w:t>.</w:t>
      </w:r>
    </w:p>
    <w:p w:rsidR="00F81271" w:rsidRPr="00F81271" w:rsidRDefault="00095FD7" w:rsidP="00F81271">
      <w:pPr>
        <w:spacing w:line="240" w:lineRule="atLeast"/>
        <w:ind w:firstLine="709"/>
        <w:jc w:val="both"/>
        <w:rPr>
          <w:sz w:val="24"/>
          <w:szCs w:val="24"/>
        </w:rPr>
      </w:pPr>
      <w:r>
        <w:rPr>
          <w:sz w:val="24"/>
          <w:szCs w:val="24"/>
        </w:rPr>
        <w:t xml:space="preserve">На конференции </w:t>
      </w:r>
      <w:r w:rsidR="00F81271" w:rsidRPr="00F81271">
        <w:rPr>
          <w:sz w:val="24"/>
          <w:szCs w:val="24"/>
        </w:rPr>
        <w:t xml:space="preserve">подведены итоги и состоялось награждение </w:t>
      </w:r>
      <w:r w:rsidR="006D4E69">
        <w:rPr>
          <w:noProof/>
          <w:sz w:val="24"/>
          <w:szCs w:val="24"/>
        </w:rPr>
        <w:drawing>
          <wp:anchor distT="0" distB="0" distL="114300" distR="114300" simplePos="0" relativeHeight="251659264" behindDoc="0" locked="0" layoutInCell="1" allowOverlap="1" wp14:anchorId="5CFE2E55" wp14:editId="1E445171">
            <wp:simplePos x="0" y="0"/>
            <wp:positionH relativeFrom="column">
              <wp:posOffset>5034280</wp:posOffset>
            </wp:positionH>
            <wp:positionV relativeFrom="paragraph">
              <wp:posOffset>33020</wp:posOffset>
            </wp:positionV>
            <wp:extent cx="3611245" cy="2416810"/>
            <wp:effectExtent l="0" t="0" r="8255" b="254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5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11245" cy="2416810"/>
                    </a:xfrm>
                    <a:prstGeom prst="rect">
                      <a:avLst/>
                    </a:prstGeom>
                  </pic:spPr>
                </pic:pic>
              </a:graphicData>
            </a:graphic>
            <wp14:sizeRelH relativeFrom="page">
              <wp14:pctWidth>0</wp14:pctWidth>
            </wp14:sizeRelH>
            <wp14:sizeRelV relativeFrom="page">
              <wp14:pctHeight>0</wp14:pctHeight>
            </wp14:sizeRelV>
          </wp:anchor>
        </w:drawing>
      </w:r>
      <w:r w:rsidR="00F81271" w:rsidRPr="00F81271">
        <w:rPr>
          <w:sz w:val="24"/>
          <w:szCs w:val="24"/>
        </w:rPr>
        <w:t xml:space="preserve">победителей конкурса «Лучшие </w:t>
      </w:r>
      <w:proofErr w:type="spellStart"/>
      <w:r w:rsidR="00F81271" w:rsidRPr="00F81271">
        <w:rPr>
          <w:sz w:val="24"/>
          <w:szCs w:val="24"/>
        </w:rPr>
        <w:t>экотехнологии</w:t>
      </w:r>
      <w:proofErr w:type="spellEnd"/>
      <w:r w:rsidR="00F81271" w:rsidRPr="00F81271">
        <w:rPr>
          <w:sz w:val="24"/>
          <w:szCs w:val="24"/>
        </w:rPr>
        <w:t xml:space="preserve"> Кубани-2013».</w:t>
      </w:r>
      <w:r w:rsidR="006D4E69">
        <w:rPr>
          <w:sz w:val="24"/>
          <w:szCs w:val="24"/>
        </w:rPr>
        <w:t xml:space="preserve"> </w:t>
      </w:r>
      <w:r w:rsidR="00F81271">
        <w:rPr>
          <w:sz w:val="24"/>
          <w:szCs w:val="24"/>
        </w:rPr>
        <w:t xml:space="preserve"> </w:t>
      </w:r>
      <w:r w:rsidR="00F81271" w:rsidRPr="00F81271">
        <w:rPr>
          <w:sz w:val="24"/>
          <w:szCs w:val="24"/>
        </w:rPr>
        <w:t>Опытом реализации природоохранных и ресурсосберегающих проектов поделились предприятия, работающие в таких отраслях как промышленность, энергетика, сельское хозяйство, жилищно-коммунальный сектор, транспорт, строительство.</w:t>
      </w:r>
      <w:r w:rsidR="00F81271">
        <w:rPr>
          <w:sz w:val="24"/>
          <w:szCs w:val="24"/>
        </w:rPr>
        <w:t xml:space="preserve"> </w:t>
      </w:r>
      <w:r w:rsidR="00F81271" w:rsidRPr="00F81271">
        <w:rPr>
          <w:sz w:val="24"/>
          <w:szCs w:val="24"/>
        </w:rPr>
        <w:t>Всего на конкурс было подано более 60 заявок, из которых к рассмотрению были приняты 56. Многие конкурсанты подавали заявки на участие сразу в нескольких номинациях.</w:t>
      </w:r>
    </w:p>
    <w:p w:rsidR="00F81271" w:rsidRDefault="006D4E69" w:rsidP="00F81271">
      <w:pPr>
        <w:spacing w:line="240" w:lineRule="atLeast"/>
        <w:ind w:firstLine="709"/>
        <w:jc w:val="both"/>
        <w:rPr>
          <w:sz w:val="24"/>
          <w:szCs w:val="24"/>
        </w:rPr>
      </w:pPr>
      <w:r>
        <w:rPr>
          <w:noProof/>
          <w:sz w:val="24"/>
          <w:szCs w:val="24"/>
        </w:rPr>
        <w:drawing>
          <wp:anchor distT="0" distB="0" distL="114300" distR="114300" simplePos="0" relativeHeight="251660288" behindDoc="0" locked="0" layoutInCell="1" allowOverlap="1" wp14:anchorId="1C03ADCA" wp14:editId="542EE7E3">
            <wp:simplePos x="0" y="0"/>
            <wp:positionH relativeFrom="column">
              <wp:posOffset>300355</wp:posOffset>
            </wp:positionH>
            <wp:positionV relativeFrom="paragraph">
              <wp:posOffset>1436370</wp:posOffset>
            </wp:positionV>
            <wp:extent cx="3541395" cy="2370455"/>
            <wp:effectExtent l="0" t="0" r="190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85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41395" cy="2370455"/>
                    </a:xfrm>
                    <a:prstGeom prst="rect">
                      <a:avLst/>
                    </a:prstGeom>
                  </pic:spPr>
                </pic:pic>
              </a:graphicData>
            </a:graphic>
            <wp14:sizeRelH relativeFrom="page">
              <wp14:pctWidth>0</wp14:pctWidth>
            </wp14:sizeRelH>
            <wp14:sizeRelV relativeFrom="page">
              <wp14:pctHeight>0</wp14:pctHeight>
            </wp14:sizeRelV>
          </wp:anchor>
        </w:drawing>
      </w:r>
      <w:r w:rsidR="00F81271" w:rsidRPr="00F81271">
        <w:rPr>
          <w:sz w:val="24"/>
          <w:szCs w:val="24"/>
        </w:rPr>
        <w:t xml:space="preserve">Также состоялась демонстрация фильма, посвященного </w:t>
      </w:r>
      <w:proofErr w:type="spellStart"/>
      <w:r w:rsidR="00F81271" w:rsidRPr="00F81271">
        <w:rPr>
          <w:sz w:val="24"/>
          <w:szCs w:val="24"/>
        </w:rPr>
        <w:t>двадцатипятилетию</w:t>
      </w:r>
      <w:proofErr w:type="spellEnd"/>
      <w:r w:rsidR="00F81271" w:rsidRPr="00F81271">
        <w:rPr>
          <w:sz w:val="24"/>
          <w:szCs w:val="24"/>
        </w:rPr>
        <w:t xml:space="preserve"> природоохранной службы Краснодарского края. </w:t>
      </w:r>
      <w:proofErr w:type="gramStart"/>
      <w:r w:rsidR="00F81271" w:rsidRPr="00F81271">
        <w:rPr>
          <w:sz w:val="24"/>
          <w:szCs w:val="24"/>
        </w:rPr>
        <w:t>О</w:t>
      </w:r>
      <w:proofErr w:type="gramEnd"/>
      <w:r w:rsidR="00F81271" w:rsidRPr="00F81271">
        <w:rPr>
          <w:sz w:val="24"/>
          <w:szCs w:val="24"/>
        </w:rPr>
        <w:t xml:space="preserve"> этапах ее становления, а также перспективах развития деятельности в области охраны окружающей среды рассказали </w:t>
      </w:r>
      <w:proofErr w:type="spellStart"/>
      <w:r w:rsidR="00F81271" w:rsidRPr="00F81271">
        <w:rPr>
          <w:sz w:val="24"/>
          <w:szCs w:val="24"/>
        </w:rPr>
        <w:t>Половинко</w:t>
      </w:r>
      <w:proofErr w:type="spellEnd"/>
      <w:r w:rsidR="00F81271" w:rsidRPr="00F81271">
        <w:rPr>
          <w:sz w:val="24"/>
          <w:szCs w:val="24"/>
        </w:rPr>
        <w:t xml:space="preserve"> Павел Александрович (председатель Общественного экологического совета при главе администрации (губернаторе) </w:t>
      </w:r>
      <w:r w:rsidR="00F81271" w:rsidRPr="005C2E8E">
        <w:rPr>
          <w:sz w:val="24"/>
          <w:szCs w:val="24"/>
        </w:rPr>
        <w:t xml:space="preserve">Краснодарского края, заместитель директора НИИ прикладной и экспериментальной экологии Кубанского государственного аграрного университета), и </w:t>
      </w:r>
      <w:proofErr w:type="spellStart"/>
      <w:r w:rsidR="00F81271" w:rsidRPr="005C2E8E">
        <w:rPr>
          <w:sz w:val="24"/>
          <w:szCs w:val="24"/>
        </w:rPr>
        <w:t>Ярмак</w:t>
      </w:r>
      <w:proofErr w:type="spellEnd"/>
      <w:r w:rsidR="00F81271" w:rsidRPr="005C2E8E">
        <w:rPr>
          <w:sz w:val="24"/>
          <w:szCs w:val="24"/>
        </w:rPr>
        <w:t xml:space="preserve"> Леонид Петрович (директор НИИ прикладной и экспериментальной экологии Кубанского государственного аграрного университета, профессор).</w:t>
      </w:r>
    </w:p>
    <w:p w:rsidR="006D4E69" w:rsidRPr="005C2E8E" w:rsidRDefault="006D4E69" w:rsidP="00F81271">
      <w:pPr>
        <w:spacing w:line="240" w:lineRule="atLeast"/>
        <w:ind w:firstLine="709"/>
        <w:jc w:val="both"/>
        <w:rPr>
          <w:sz w:val="24"/>
          <w:szCs w:val="24"/>
        </w:rPr>
      </w:pPr>
    </w:p>
    <w:p w:rsidR="005C2E8E" w:rsidRPr="005C2E8E" w:rsidRDefault="005C2E8E" w:rsidP="00665A43">
      <w:pPr>
        <w:spacing w:line="240" w:lineRule="atLeast"/>
        <w:ind w:firstLine="709"/>
        <w:jc w:val="both"/>
        <w:rPr>
          <w:sz w:val="24"/>
          <w:szCs w:val="24"/>
        </w:rPr>
      </w:pPr>
      <w:r w:rsidRPr="005C2E8E">
        <w:rPr>
          <w:sz w:val="24"/>
          <w:szCs w:val="24"/>
        </w:rPr>
        <w:t xml:space="preserve">Министерством </w:t>
      </w:r>
      <w:r w:rsidR="00095FD7">
        <w:rPr>
          <w:sz w:val="24"/>
          <w:szCs w:val="24"/>
        </w:rPr>
        <w:t>природных ресурсов Краснодарского края в торжественной обстановке были награждены</w:t>
      </w:r>
      <w:r w:rsidRPr="005C2E8E">
        <w:rPr>
          <w:sz w:val="24"/>
          <w:szCs w:val="24"/>
        </w:rPr>
        <w:t xml:space="preserve"> Почетными грамотами и </w:t>
      </w:r>
      <w:r w:rsidR="00095FD7">
        <w:rPr>
          <w:sz w:val="24"/>
          <w:szCs w:val="24"/>
        </w:rPr>
        <w:t xml:space="preserve">благодарственными письмами </w:t>
      </w:r>
      <w:r w:rsidRPr="005C2E8E">
        <w:rPr>
          <w:sz w:val="24"/>
          <w:szCs w:val="24"/>
        </w:rPr>
        <w:t>специалисты-экологи, а также представители общественных экологических организаций, внесших значительный вклад в работу по улучшению состояния окружающей среды на территории Краснодарского края.</w:t>
      </w:r>
    </w:p>
    <w:p w:rsidR="00665A43" w:rsidRDefault="005C2E8E" w:rsidP="006D4E69">
      <w:pPr>
        <w:spacing w:line="240" w:lineRule="atLeast"/>
        <w:ind w:firstLine="709"/>
        <w:jc w:val="both"/>
        <w:rPr>
          <w:color w:val="FF0000"/>
          <w:sz w:val="24"/>
          <w:szCs w:val="24"/>
        </w:rPr>
      </w:pPr>
      <w:r w:rsidRPr="005C2E8E">
        <w:rPr>
          <w:sz w:val="24"/>
          <w:szCs w:val="24"/>
        </w:rPr>
        <w:t xml:space="preserve">Материалы докладов, а также </w:t>
      </w:r>
      <w:proofErr w:type="gramStart"/>
      <w:r w:rsidRPr="005C2E8E">
        <w:rPr>
          <w:sz w:val="24"/>
          <w:szCs w:val="24"/>
        </w:rPr>
        <w:t>проекты, представленные на конкурс собраны</w:t>
      </w:r>
      <w:proofErr w:type="gramEnd"/>
      <w:r w:rsidRPr="005C2E8E">
        <w:rPr>
          <w:sz w:val="24"/>
          <w:szCs w:val="24"/>
        </w:rPr>
        <w:t xml:space="preserve"> в сборник</w:t>
      </w:r>
      <w:r w:rsidR="00095FD7">
        <w:rPr>
          <w:sz w:val="24"/>
          <w:szCs w:val="24"/>
        </w:rPr>
        <w:t xml:space="preserve"> конференции</w:t>
      </w:r>
      <w:r w:rsidR="006D4E69">
        <w:rPr>
          <w:sz w:val="24"/>
          <w:szCs w:val="24"/>
        </w:rPr>
        <w:t>.</w:t>
      </w:r>
    </w:p>
    <w:p w:rsidR="008B08D9" w:rsidRPr="008B08D9" w:rsidRDefault="008B08D9" w:rsidP="00E05AB7">
      <w:pPr>
        <w:pStyle w:val="a9"/>
        <w:spacing w:after="0" w:line="228" w:lineRule="auto"/>
        <w:ind w:left="0" w:firstLine="709"/>
        <w:jc w:val="both"/>
        <w:rPr>
          <w:rFonts w:ascii="Times New Roman" w:hAnsi="Times New Roman" w:cs="Times New Roman"/>
          <w:color w:val="FF0000"/>
          <w:sz w:val="24"/>
          <w:szCs w:val="24"/>
        </w:rPr>
      </w:pPr>
    </w:p>
    <w:p w:rsidR="006D4E69" w:rsidRDefault="006D4E69" w:rsidP="003324E2">
      <w:pPr>
        <w:shd w:val="clear" w:color="auto" w:fill="FFFFFF"/>
        <w:rPr>
          <w:sz w:val="24"/>
          <w:szCs w:val="24"/>
        </w:rPr>
      </w:pPr>
    </w:p>
    <w:p w:rsidR="006D4E69" w:rsidRDefault="006D4E69" w:rsidP="003324E2">
      <w:pPr>
        <w:shd w:val="clear" w:color="auto" w:fill="FFFFFF"/>
        <w:rPr>
          <w:sz w:val="24"/>
          <w:szCs w:val="24"/>
        </w:rPr>
      </w:pPr>
    </w:p>
    <w:p w:rsidR="006D4E69" w:rsidRDefault="006D4E69" w:rsidP="003324E2">
      <w:pPr>
        <w:shd w:val="clear" w:color="auto" w:fill="FFFFFF"/>
        <w:rPr>
          <w:sz w:val="24"/>
          <w:szCs w:val="24"/>
        </w:rPr>
      </w:pPr>
    </w:p>
    <w:p w:rsidR="006D4E69" w:rsidRDefault="006D4E69" w:rsidP="003324E2">
      <w:pPr>
        <w:shd w:val="clear" w:color="auto" w:fill="FFFFFF"/>
        <w:rPr>
          <w:sz w:val="24"/>
          <w:szCs w:val="24"/>
        </w:rPr>
      </w:pPr>
    </w:p>
    <w:p w:rsidR="006D4E69" w:rsidRDefault="006D4E69" w:rsidP="003324E2">
      <w:pPr>
        <w:shd w:val="clear" w:color="auto" w:fill="FFFFFF"/>
        <w:rPr>
          <w:sz w:val="24"/>
          <w:szCs w:val="24"/>
        </w:rPr>
      </w:pPr>
    </w:p>
    <w:p w:rsidR="008F7D51" w:rsidRPr="00C5411C" w:rsidRDefault="007F6AF5" w:rsidP="003324E2">
      <w:pPr>
        <w:shd w:val="clear" w:color="auto" w:fill="FFFFFF"/>
        <w:rPr>
          <w:sz w:val="24"/>
          <w:szCs w:val="24"/>
        </w:rPr>
      </w:pPr>
      <w:r w:rsidRPr="008B08D9">
        <w:rPr>
          <w:sz w:val="24"/>
          <w:szCs w:val="24"/>
        </w:rPr>
        <w:t>Начальник отдела мониторинга ГБУ КК «КИАЦЭМ»</w:t>
      </w:r>
      <w:r w:rsidRPr="008B08D9">
        <w:rPr>
          <w:sz w:val="24"/>
          <w:szCs w:val="24"/>
        </w:rPr>
        <w:tab/>
      </w:r>
      <w:r w:rsidRPr="008B08D9">
        <w:rPr>
          <w:sz w:val="24"/>
          <w:szCs w:val="24"/>
        </w:rPr>
        <w:tab/>
      </w:r>
      <w:r w:rsidR="003324E2" w:rsidRPr="008B08D9">
        <w:rPr>
          <w:sz w:val="24"/>
          <w:szCs w:val="24"/>
        </w:rPr>
        <w:t xml:space="preserve">            </w:t>
      </w:r>
      <w:r w:rsidRPr="008B08D9">
        <w:rPr>
          <w:sz w:val="24"/>
          <w:szCs w:val="24"/>
        </w:rPr>
        <w:t xml:space="preserve">         </w:t>
      </w:r>
      <w:r w:rsidRPr="008B08D9">
        <w:rPr>
          <w:sz w:val="24"/>
          <w:szCs w:val="24"/>
        </w:rPr>
        <w:tab/>
      </w:r>
      <w:r w:rsidRPr="008B08D9">
        <w:rPr>
          <w:sz w:val="24"/>
          <w:szCs w:val="24"/>
        </w:rPr>
        <w:tab/>
        <w:t xml:space="preserve"> </w:t>
      </w:r>
      <w:r w:rsidR="00867EF6" w:rsidRPr="008B08D9">
        <w:rPr>
          <w:sz w:val="24"/>
          <w:szCs w:val="24"/>
        </w:rPr>
        <w:t xml:space="preserve">                            </w:t>
      </w:r>
      <w:r w:rsidR="003324E2" w:rsidRPr="008B08D9">
        <w:rPr>
          <w:sz w:val="24"/>
          <w:szCs w:val="24"/>
        </w:rPr>
        <w:tab/>
      </w:r>
      <w:r w:rsidR="003324E2" w:rsidRPr="008B08D9">
        <w:rPr>
          <w:sz w:val="24"/>
          <w:szCs w:val="24"/>
        </w:rPr>
        <w:tab/>
        <w:t xml:space="preserve">         </w:t>
      </w:r>
      <w:r w:rsidR="00867EF6" w:rsidRPr="008B08D9">
        <w:rPr>
          <w:sz w:val="24"/>
          <w:szCs w:val="24"/>
        </w:rPr>
        <w:t xml:space="preserve">       </w:t>
      </w:r>
      <w:r w:rsidR="00075D04" w:rsidRPr="008B08D9">
        <w:rPr>
          <w:sz w:val="24"/>
          <w:szCs w:val="24"/>
        </w:rPr>
        <w:t xml:space="preserve"> </w:t>
      </w:r>
      <w:r w:rsidR="00867EF6" w:rsidRPr="008B08D9">
        <w:rPr>
          <w:sz w:val="24"/>
          <w:szCs w:val="24"/>
        </w:rPr>
        <w:t xml:space="preserve"> </w:t>
      </w:r>
      <w:r w:rsidRPr="008B08D9">
        <w:rPr>
          <w:sz w:val="24"/>
          <w:szCs w:val="24"/>
        </w:rPr>
        <w:t xml:space="preserve"> </w:t>
      </w:r>
      <w:proofErr w:type="spellStart"/>
      <w:r w:rsidR="00075D04" w:rsidRPr="008B08D9">
        <w:rPr>
          <w:sz w:val="24"/>
          <w:szCs w:val="24"/>
        </w:rPr>
        <w:t>А.И.Седов</w:t>
      </w:r>
      <w:proofErr w:type="spellEnd"/>
    </w:p>
    <w:sectPr w:rsidR="008F7D51" w:rsidRPr="00C5411C" w:rsidSect="004C6D01">
      <w:pgSz w:w="16838" w:h="11906" w:orient="landscape"/>
      <w:pgMar w:top="709" w:right="1387" w:bottom="567"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E2" w:rsidRDefault="003324E2" w:rsidP="004023EE">
      <w:r>
        <w:separator/>
      </w:r>
    </w:p>
  </w:endnote>
  <w:endnote w:type="continuationSeparator" w:id="0">
    <w:p w:rsidR="003324E2" w:rsidRDefault="003324E2" w:rsidP="0040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E2" w:rsidRDefault="003324E2" w:rsidP="004023EE">
      <w:r>
        <w:separator/>
      </w:r>
    </w:p>
  </w:footnote>
  <w:footnote w:type="continuationSeparator" w:id="0">
    <w:p w:rsidR="003324E2" w:rsidRDefault="003324E2" w:rsidP="00402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F4B"/>
    <w:multiLevelType w:val="hybridMultilevel"/>
    <w:tmpl w:val="2CBEE782"/>
    <w:lvl w:ilvl="0" w:tplc="00E6B5C4">
      <w:start w:val="1"/>
      <w:numFmt w:val="decimal"/>
      <w:lvlText w:val="%1)"/>
      <w:lvlJc w:val="left"/>
      <w:pPr>
        <w:tabs>
          <w:tab w:val="num" w:pos="1710"/>
        </w:tabs>
        <w:ind w:left="1710" w:hanging="99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9755695"/>
    <w:multiLevelType w:val="hybridMultilevel"/>
    <w:tmpl w:val="0B8EB6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654420"/>
    <w:multiLevelType w:val="hybridMultilevel"/>
    <w:tmpl w:val="28F249C0"/>
    <w:lvl w:ilvl="0" w:tplc="5C2EB7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7C20ABE"/>
    <w:multiLevelType w:val="hybridMultilevel"/>
    <w:tmpl w:val="748C8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7E1589"/>
    <w:multiLevelType w:val="hybridMultilevel"/>
    <w:tmpl w:val="A83A66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F0748F"/>
    <w:multiLevelType w:val="multilevel"/>
    <w:tmpl w:val="023AD2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6841918"/>
    <w:multiLevelType w:val="multilevel"/>
    <w:tmpl w:val="5D4A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326097"/>
    <w:multiLevelType w:val="hybridMultilevel"/>
    <w:tmpl w:val="182A70EC"/>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C74E82"/>
    <w:multiLevelType w:val="hybridMultilevel"/>
    <w:tmpl w:val="8B76D4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48D123F"/>
    <w:multiLevelType w:val="multilevel"/>
    <w:tmpl w:val="505EBE44"/>
    <w:lvl w:ilvl="0">
      <w:start w:val="1"/>
      <w:numFmt w:val="decimal"/>
      <w:lvlText w:val="%1."/>
      <w:lvlJc w:val="left"/>
      <w:pPr>
        <w:ind w:left="1227" w:hanging="375"/>
      </w:pPr>
      <w:rPr>
        <w:rFonts w:hint="default"/>
      </w:rPr>
    </w:lvl>
    <w:lvl w:ilvl="1">
      <w:start w:val="2"/>
      <w:numFmt w:val="decimal"/>
      <w:isLgl/>
      <w:lvlText w:val="%1.%2."/>
      <w:lvlJc w:val="left"/>
      <w:pPr>
        <w:ind w:left="1572" w:hanging="720"/>
      </w:pPr>
      <w:rPr>
        <w:rFonts w:eastAsia="PMingLiU" w:hint="default"/>
      </w:rPr>
    </w:lvl>
    <w:lvl w:ilvl="2">
      <w:start w:val="1"/>
      <w:numFmt w:val="decimalZero"/>
      <w:isLgl/>
      <w:lvlText w:val="%1.%2.%3."/>
      <w:lvlJc w:val="left"/>
      <w:pPr>
        <w:ind w:left="1572" w:hanging="720"/>
      </w:pPr>
      <w:rPr>
        <w:rFonts w:eastAsia="PMingLiU" w:hint="default"/>
      </w:rPr>
    </w:lvl>
    <w:lvl w:ilvl="3">
      <w:start w:val="1"/>
      <w:numFmt w:val="decimal"/>
      <w:isLgl/>
      <w:lvlText w:val="%1.%2.%3.%4."/>
      <w:lvlJc w:val="left"/>
      <w:pPr>
        <w:ind w:left="1932" w:hanging="1080"/>
      </w:pPr>
      <w:rPr>
        <w:rFonts w:eastAsia="PMingLiU" w:hint="default"/>
      </w:rPr>
    </w:lvl>
    <w:lvl w:ilvl="4">
      <w:start w:val="1"/>
      <w:numFmt w:val="decimal"/>
      <w:isLgl/>
      <w:lvlText w:val="%1.%2.%3.%4.%5."/>
      <w:lvlJc w:val="left"/>
      <w:pPr>
        <w:ind w:left="1932" w:hanging="1080"/>
      </w:pPr>
      <w:rPr>
        <w:rFonts w:eastAsia="PMingLiU" w:hint="default"/>
      </w:rPr>
    </w:lvl>
    <w:lvl w:ilvl="5">
      <w:start w:val="1"/>
      <w:numFmt w:val="decimal"/>
      <w:isLgl/>
      <w:lvlText w:val="%1.%2.%3.%4.%5.%6."/>
      <w:lvlJc w:val="left"/>
      <w:pPr>
        <w:ind w:left="2292" w:hanging="1440"/>
      </w:pPr>
      <w:rPr>
        <w:rFonts w:eastAsia="PMingLiU" w:hint="default"/>
      </w:rPr>
    </w:lvl>
    <w:lvl w:ilvl="6">
      <w:start w:val="1"/>
      <w:numFmt w:val="decimal"/>
      <w:isLgl/>
      <w:lvlText w:val="%1.%2.%3.%4.%5.%6.%7."/>
      <w:lvlJc w:val="left"/>
      <w:pPr>
        <w:ind w:left="2652" w:hanging="1800"/>
      </w:pPr>
      <w:rPr>
        <w:rFonts w:eastAsia="PMingLiU" w:hint="default"/>
      </w:rPr>
    </w:lvl>
    <w:lvl w:ilvl="7">
      <w:start w:val="1"/>
      <w:numFmt w:val="decimal"/>
      <w:isLgl/>
      <w:lvlText w:val="%1.%2.%3.%4.%5.%6.%7.%8."/>
      <w:lvlJc w:val="left"/>
      <w:pPr>
        <w:ind w:left="2652" w:hanging="1800"/>
      </w:pPr>
      <w:rPr>
        <w:rFonts w:eastAsia="PMingLiU" w:hint="default"/>
      </w:rPr>
    </w:lvl>
    <w:lvl w:ilvl="8">
      <w:start w:val="1"/>
      <w:numFmt w:val="decimal"/>
      <w:isLgl/>
      <w:lvlText w:val="%1.%2.%3.%4.%5.%6.%7.%8.%9."/>
      <w:lvlJc w:val="left"/>
      <w:pPr>
        <w:ind w:left="3012" w:hanging="2160"/>
      </w:pPr>
      <w:rPr>
        <w:rFonts w:eastAsia="PMingLiU" w:hint="default"/>
      </w:rPr>
    </w:lvl>
  </w:abstractNum>
  <w:abstractNum w:abstractNumId="10">
    <w:nsid w:val="47792D06"/>
    <w:multiLevelType w:val="hybridMultilevel"/>
    <w:tmpl w:val="5A62C180"/>
    <w:lvl w:ilvl="0" w:tplc="8DA6912A">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1">
    <w:nsid w:val="4FCB5DAB"/>
    <w:multiLevelType w:val="hybridMultilevel"/>
    <w:tmpl w:val="CACA46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9213F6"/>
    <w:multiLevelType w:val="multilevel"/>
    <w:tmpl w:val="7DFC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C67B93"/>
    <w:multiLevelType w:val="hybridMultilevel"/>
    <w:tmpl w:val="0FAEEC1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F105FCB"/>
    <w:multiLevelType w:val="hybridMultilevel"/>
    <w:tmpl w:val="6FDA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6"/>
  </w:num>
  <w:num w:numId="5">
    <w:abstractNumId w:val="12"/>
  </w:num>
  <w:num w:numId="6">
    <w:abstractNumId w:val="8"/>
  </w:num>
  <w:num w:numId="7">
    <w:abstractNumId w:val="4"/>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C0"/>
    <w:rsid w:val="000029CF"/>
    <w:rsid w:val="000040CF"/>
    <w:rsid w:val="00005572"/>
    <w:rsid w:val="00006716"/>
    <w:rsid w:val="00007EC2"/>
    <w:rsid w:val="00012908"/>
    <w:rsid w:val="000130E0"/>
    <w:rsid w:val="00013CBE"/>
    <w:rsid w:val="00015CF2"/>
    <w:rsid w:val="00016546"/>
    <w:rsid w:val="00017D3B"/>
    <w:rsid w:val="00021097"/>
    <w:rsid w:val="000253B5"/>
    <w:rsid w:val="00032A46"/>
    <w:rsid w:val="00033307"/>
    <w:rsid w:val="00036287"/>
    <w:rsid w:val="00036295"/>
    <w:rsid w:val="00037EAF"/>
    <w:rsid w:val="000412F4"/>
    <w:rsid w:val="0004190C"/>
    <w:rsid w:val="00041F56"/>
    <w:rsid w:val="00043289"/>
    <w:rsid w:val="00045886"/>
    <w:rsid w:val="000468A2"/>
    <w:rsid w:val="00047B76"/>
    <w:rsid w:val="00047C08"/>
    <w:rsid w:val="00052A79"/>
    <w:rsid w:val="00052D2E"/>
    <w:rsid w:val="0005671B"/>
    <w:rsid w:val="00056C4B"/>
    <w:rsid w:val="0005782B"/>
    <w:rsid w:val="00057C6C"/>
    <w:rsid w:val="00060BF5"/>
    <w:rsid w:val="0006208E"/>
    <w:rsid w:val="000622FA"/>
    <w:rsid w:val="0006348D"/>
    <w:rsid w:val="00063A68"/>
    <w:rsid w:val="00064A21"/>
    <w:rsid w:val="00067C39"/>
    <w:rsid w:val="0007008F"/>
    <w:rsid w:val="000731D1"/>
    <w:rsid w:val="00073C7C"/>
    <w:rsid w:val="00075650"/>
    <w:rsid w:val="00075D04"/>
    <w:rsid w:val="000764DF"/>
    <w:rsid w:val="00080F34"/>
    <w:rsid w:val="000815B9"/>
    <w:rsid w:val="0008203C"/>
    <w:rsid w:val="0008314A"/>
    <w:rsid w:val="00083814"/>
    <w:rsid w:val="0008401E"/>
    <w:rsid w:val="00085D16"/>
    <w:rsid w:val="00085DB6"/>
    <w:rsid w:val="00085ED2"/>
    <w:rsid w:val="0008608C"/>
    <w:rsid w:val="00091BF6"/>
    <w:rsid w:val="00092CEE"/>
    <w:rsid w:val="000945DC"/>
    <w:rsid w:val="00095FD7"/>
    <w:rsid w:val="00097179"/>
    <w:rsid w:val="00097196"/>
    <w:rsid w:val="000973F4"/>
    <w:rsid w:val="00097441"/>
    <w:rsid w:val="00097687"/>
    <w:rsid w:val="000A0775"/>
    <w:rsid w:val="000A162C"/>
    <w:rsid w:val="000A2830"/>
    <w:rsid w:val="000A4349"/>
    <w:rsid w:val="000A44A6"/>
    <w:rsid w:val="000A66B2"/>
    <w:rsid w:val="000B02E0"/>
    <w:rsid w:val="000B18CE"/>
    <w:rsid w:val="000B28D8"/>
    <w:rsid w:val="000B44CB"/>
    <w:rsid w:val="000B47F3"/>
    <w:rsid w:val="000C0780"/>
    <w:rsid w:val="000C2B26"/>
    <w:rsid w:val="000C3443"/>
    <w:rsid w:val="000C3DBE"/>
    <w:rsid w:val="000C4306"/>
    <w:rsid w:val="000C66FE"/>
    <w:rsid w:val="000C6C3D"/>
    <w:rsid w:val="000C7061"/>
    <w:rsid w:val="000D313A"/>
    <w:rsid w:val="000D369C"/>
    <w:rsid w:val="000E0109"/>
    <w:rsid w:val="000E2B66"/>
    <w:rsid w:val="000E3F72"/>
    <w:rsid w:val="000E4691"/>
    <w:rsid w:val="000E6664"/>
    <w:rsid w:val="000E6A6A"/>
    <w:rsid w:val="000F01BF"/>
    <w:rsid w:val="000F144A"/>
    <w:rsid w:val="000F146C"/>
    <w:rsid w:val="000F2F51"/>
    <w:rsid w:val="000F64E6"/>
    <w:rsid w:val="000F7583"/>
    <w:rsid w:val="00100F81"/>
    <w:rsid w:val="0010184A"/>
    <w:rsid w:val="0010187C"/>
    <w:rsid w:val="001022AC"/>
    <w:rsid w:val="001022D3"/>
    <w:rsid w:val="00102329"/>
    <w:rsid w:val="00104F83"/>
    <w:rsid w:val="00105963"/>
    <w:rsid w:val="00105E34"/>
    <w:rsid w:val="00106795"/>
    <w:rsid w:val="00107A67"/>
    <w:rsid w:val="001116F5"/>
    <w:rsid w:val="001116FA"/>
    <w:rsid w:val="00113C4D"/>
    <w:rsid w:val="001150DD"/>
    <w:rsid w:val="00116A94"/>
    <w:rsid w:val="00122C03"/>
    <w:rsid w:val="00122D8F"/>
    <w:rsid w:val="001237B9"/>
    <w:rsid w:val="00127A1F"/>
    <w:rsid w:val="00127D2C"/>
    <w:rsid w:val="00134260"/>
    <w:rsid w:val="00135AB6"/>
    <w:rsid w:val="00135AF1"/>
    <w:rsid w:val="00140D97"/>
    <w:rsid w:val="001479A5"/>
    <w:rsid w:val="00151AD2"/>
    <w:rsid w:val="00152A49"/>
    <w:rsid w:val="00155D7F"/>
    <w:rsid w:val="00160BBE"/>
    <w:rsid w:val="00161BAE"/>
    <w:rsid w:val="001662C7"/>
    <w:rsid w:val="001663F3"/>
    <w:rsid w:val="00166CA1"/>
    <w:rsid w:val="00166D59"/>
    <w:rsid w:val="0017140F"/>
    <w:rsid w:val="00173448"/>
    <w:rsid w:val="00175062"/>
    <w:rsid w:val="00175E01"/>
    <w:rsid w:val="001761D3"/>
    <w:rsid w:val="001766A9"/>
    <w:rsid w:val="00177619"/>
    <w:rsid w:val="00180586"/>
    <w:rsid w:val="00180B4D"/>
    <w:rsid w:val="00181006"/>
    <w:rsid w:val="00181C29"/>
    <w:rsid w:val="0018298F"/>
    <w:rsid w:val="00182AB3"/>
    <w:rsid w:val="001835F1"/>
    <w:rsid w:val="00183D00"/>
    <w:rsid w:val="00186A2D"/>
    <w:rsid w:val="00186C14"/>
    <w:rsid w:val="00190B45"/>
    <w:rsid w:val="001919F0"/>
    <w:rsid w:val="00192900"/>
    <w:rsid w:val="001935F4"/>
    <w:rsid w:val="00194618"/>
    <w:rsid w:val="00194AD2"/>
    <w:rsid w:val="00194D34"/>
    <w:rsid w:val="00195607"/>
    <w:rsid w:val="001957E0"/>
    <w:rsid w:val="00197143"/>
    <w:rsid w:val="00197378"/>
    <w:rsid w:val="001973B1"/>
    <w:rsid w:val="001A023B"/>
    <w:rsid w:val="001A097D"/>
    <w:rsid w:val="001A1066"/>
    <w:rsid w:val="001A3AB4"/>
    <w:rsid w:val="001A4CEC"/>
    <w:rsid w:val="001A7263"/>
    <w:rsid w:val="001B161F"/>
    <w:rsid w:val="001B2AA7"/>
    <w:rsid w:val="001B34E7"/>
    <w:rsid w:val="001B48DA"/>
    <w:rsid w:val="001B4DE4"/>
    <w:rsid w:val="001B6097"/>
    <w:rsid w:val="001B62C9"/>
    <w:rsid w:val="001B7563"/>
    <w:rsid w:val="001B777C"/>
    <w:rsid w:val="001C2499"/>
    <w:rsid w:val="001C30F6"/>
    <w:rsid w:val="001C33BD"/>
    <w:rsid w:val="001C3D1D"/>
    <w:rsid w:val="001C4642"/>
    <w:rsid w:val="001C6685"/>
    <w:rsid w:val="001C6D5A"/>
    <w:rsid w:val="001C74B0"/>
    <w:rsid w:val="001D153C"/>
    <w:rsid w:val="001D17DA"/>
    <w:rsid w:val="001D2461"/>
    <w:rsid w:val="001D443F"/>
    <w:rsid w:val="001D5286"/>
    <w:rsid w:val="001D52F0"/>
    <w:rsid w:val="001D5C77"/>
    <w:rsid w:val="001D5DB1"/>
    <w:rsid w:val="001E024A"/>
    <w:rsid w:val="001E160D"/>
    <w:rsid w:val="001E1887"/>
    <w:rsid w:val="001E1F7A"/>
    <w:rsid w:val="001E3112"/>
    <w:rsid w:val="001E348B"/>
    <w:rsid w:val="001E40A0"/>
    <w:rsid w:val="001E5397"/>
    <w:rsid w:val="001E57E2"/>
    <w:rsid w:val="001E5FF5"/>
    <w:rsid w:val="001F0468"/>
    <w:rsid w:val="001F2115"/>
    <w:rsid w:val="001F3CEC"/>
    <w:rsid w:val="001F4A5A"/>
    <w:rsid w:val="001F4E7E"/>
    <w:rsid w:val="001F51F0"/>
    <w:rsid w:val="001F5E23"/>
    <w:rsid w:val="00201013"/>
    <w:rsid w:val="00201E25"/>
    <w:rsid w:val="00202696"/>
    <w:rsid w:val="00202CCA"/>
    <w:rsid w:val="002054F8"/>
    <w:rsid w:val="00206360"/>
    <w:rsid w:val="002075B5"/>
    <w:rsid w:val="002076DD"/>
    <w:rsid w:val="00207DEE"/>
    <w:rsid w:val="0021004E"/>
    <w:rsid w:val="002108A1"/>
    <w:rsid w:val="002157FC"/>
    <w:rsid w:val="00215E95"/>
    <w:rsid w:val="00215FE8"/>
    <w:rsid w:val="0021637D"/>
    <w:rsid w:val="00216B9B"/>
    <w:rsid w:val="00222E87"/>
    <w:rsid w:val="002248C0"/>
    <w:rsid w:val="002255EC"/>
    <w:rsid w:val="002273B2"/>
    <w:rsid w:val="00234C7F"/>
    <w:rsid w:val="00240619"/>
    <w:rsid w:val="002417EA"/>
    <w:rsid w:val="00246085"/>
    <w:rsid w:val="002471B2"/>
    <w:rsid w:val="002472EF"/>
    <w:rsid w:val="002516FC"/>
    <w:rsid w:val="0025252F"/>
    <w:rsid w:val="00253A0E"/>
    <w:rsid w:val="0025540B"/>
    <w:rsid w:val="002556E9"/>
    <w:rsid w:val="002565F3"/>
    <w:rsid w:val="00256CED"/>
    <w:rsid w:val="00257321"/>
    <w:rsid w:val="00260073"/>
    <w:rsid w:val="00260169"/>
    <w:rsid w:val="00262C35"/>
    <w:rsid w:val="00274737"/>
    <w:rsid w:val="00274BCF"/>
    <w:rsid w:val="00275254"/>
    <w:rsid w:val="00275BF2"/>
    <w:rsid w:val="00277921"/>
    <w:rsid w:val="002825E2"/>
    <w:rsid w:val="002847FE"/>
    <w:rsid w:val="00284A35"/>
    <w:rsid w:val="002906FA"/>
    <w:rsid w:val="0029186F"/>
    <w:rsid w:val="00292343"/>
    <w:rsid w:val="002925AE"/>
    <w:rsid w:val="00294825"/>
    <w:rsid w:val="00295B7B"/>
    <w:rsid w:val="0029672D"/>
    <w:rsid w:val="00296D73"/>
    <w:rsid w:val="002A1665"/>
    <w:rsid w:val="002A2E61"/>
    <w:rsid w:val="002A2EAE"/>
    <w:rsid w:val="002A49E1"/>
    <w:rsid w:val="002A4B21"/>
    <w:rsid w:val="002A5C99"/>
    <w:rsid w:val="002A6B47"/>
    <w:rsid w:val="002A7022"/>
    <w:rsid w:val="002B2CB4"/>
    <w:rsid w:val="002B2E20"/>
    <w:rsid w:val="002B7A1D"/>
    <w:rsid w:val="002B7AF4"/>
    <w:rsid w:val="002C0CDC"/>
    <w:rsid w:val="002C1A69"/>
    <w:rsid w:val="002C3403"/>
    <w:rsid w:val="002C4E49"/>
    <w:rsid w:val="002C51C2"/>
    <w:rsid w:val="002C5E07"/>
    <w:rsid w:val="002D1E77"/>
    <w:rsid w:val="002D4C90"/>
    <w:rsid w:val="002E0320"/>
    <w:rsid w:val="002E08E5"/>
    <w:rsid w:val="002E0A22"/>
    <w:rsid w:val="002E165B"/>
    <w:rsid w:val="002E2789"/>
    <w:rsid w:val="002E3457"/>
    <w:rsid w:val="002E35A1"/>
    <w:rsid w:val="002E4454"/>
    <w:rsid w:val="002E6D22"/>
    <w:rsid w:val="002E78BA"/>
    <w:rsid w:val="002F031F"/>
    <w:rsid w:val="002F1B4A"/>
    <w:rsid w:val="002F1CDC"/>
    <w:rsid w:val="002F27EF"/>
    <w:rsid w:val="002F425A"/>
    <w:rsid w:val="002F6B3F"/>
    <w:rsid w:val="002F7067"/>
    <w:rsid w:val="002F73B0"/>
    <w:rsid w:val="00300AE5"/>
    <w:rsid w:val="0030238F"/>
    <w:rsid w:val="003031D1"/>
    <w:rsid w:val="003034AF"/>
    <w:rsid w:val="0031001B"/>
    <w:rsid w:val="00310C4F"/>
    <w:rsid w:val="00316C2B"/>
    <w:rsid w:val="00323794"/>
    <w:rsid w:val="00323B1C"/>
    <w:rsid w:val="003240E1"/>
    <w:rsid w:val="003263D8"/>
    <w:rsid w:val="0032653A"/>
    <w:rsid w:val="00326603"/>
    <w:rsid w:val="0033055E"/>
    <w:rsid w:val="00330779"/>
    <w:rsid w:val="003324E2"/>
    <w:rsid w:val="00332935"/>
    <w:rsid w:val="00332D10"/>
    <w:rsid w:val="00333329"/>
    <w:rsid w:val="00334FBB"/>
    <w:rsid w:val="00335042"/>
    <w:rsid w:val="00337065"/>
    <w:rsid w:val="003377FA"/>
    <w:rsid w:val="00340EC5"/>
    <w:rsid w:val="00341ED1"/>
    <w:rsid w:val="00342574"/>
    <w:rsid w:val="00344987"/>
    <w:rsid w:val="00344AB6"/>
    <w:rsid w:val="00346401"/>
    <w:rsid w:val="00347939"/>
    <w:rsid w:val="0034798E"/>
    <w:rsid w:val="00347B93"/>
    <w:rsid w:val="00354774"/>
    <w:rsid w:val="00354A88"/>
    <w:rsid w:val="0035743C"/>
    <w:rsid w:val="00361471"/>
    <w:rsid w:val="00364E2F"/>
    <w:rsid w:val="00366FC0"/>
    <w:rsid w:val="00367394"/>
    <w:rsid w:val="00367B98"/>
    <w:rsid w:val="00372E65"/>
    <w:rsid w:val="00372EFE"/>
    <w:rsid w:val="003736BA"/>
    <w:rsid w:val="00375320"/>
    <w:rsid w:val="00375425"/>
    <w:rsid w:val="003772A2"/>
    <w:rsid w:val="0038005F"/>
    <w:rsid w:val="003806FC"/>
    <w:rsid w:val="003815AB"/>
    <w:rsid w:val="00381842"/>
    <w:rsid w:val="00382D6F"/>
    <w:rsid w:val="0038458A"/>
    <w:rsid w:val="00384E61"/>
    <w:rsid w:val="003852D0"/>
    <w:rsid w:val="00387B27"/>
    <w:rsid w:val="0039392A"/>
    <w:rsid w:val="00393B0A"/>
    <w:rsid w:val="003954B5"/>
    <w:rsid w:val="00396BEA"/>
    <w:rsid w:val="00397BEE"/>
    <w:rsid w:val="003A024D"/>
    <w:rsid w:val="003A076C"/>
    <w:rsid w:val="003A1913"/>
    <w:rsid w:val="003A28E4"/>
    <w:rsid w:val="003A291C"/>
    <w:rsid w:val="003A2A19"/>
    <w:rsid w:val="003A30BF"/>
    <w:rsid w:val="003A375B"/>
    <w:rsid w:val="003A42A9"/>
    <w:rsid w:val="003A4913"/>
    <w:rsid w:val="003A57BF"/>
    <w:rsid w:val="003B16CE"/>
    <w:rsid w:val="003B21CE"/>
    <w:rsid w:val="003B2984"/>
    <w:rsid w:val="003B437B"/>
    <w:rsid w:val="003B489C"/>
    <w:rsid w:val="003B57D6"/>
    <w:rsid w:val="003B6A3F"/>
    <w:rsid w:val="003C1BDD"/>
    <w:rsid w:val="003C520E"/>
    <w:rsid w:val="003C5FDC"/>
    <w:rsid w:val="003C71B8"/>
    <w:rsid w:val="003D1290"/>
    <w:rsid w:val="003D3036"/>
    <w:rsid w:val="003D36CF"/>
    <w:rsid w:val="003D4D48"/>
    <w:rsid w:val="003D5FB1"/>
    <w:rsid w:val="003E157E"/>
    <w:rsid w:val="003E4A41"/>
    <w:rsid w:val="003E5772"/>
    <w:rsid w:val="003E7B35"/>
    <w:rsid w:val="003F3E84"/>
    <w:rsid w:val="003F42FC"/>
    <w:rsid w:val="003F59A6"/>
    <w:rsid w:val="003F7439"/>
    <w:rsid w:val="003F7565"/>
    <w:rsid w:val="003F7651"/>
    <w:rsid w:val="0040016B"/>
    <w:rsid w:val="004023EE"/>
    <w:rsid w:val="00404580"/>
    <w:rsid w:val="00404BE9"/>
    <w:rsid w:val="004067DF"/>
    <w:rsid w:val="00406BBF"/>
    <w:rsid w:val="004113CD"/>
    <w:rsid w:val="004113DB"/>
    <w:rsid w:val="00411FE1"/>
    <w:rsid w:val="00415659"/>
    <w:rsid w:val="00417B3D"/>
    <w:rsid w:val="00421810"/>
    <w:rsid w:val="00422EC6"/>
    <w:rsid w:val="00423061"/>
    <w:rsid w:val="00423A37"/>
    <w:rsid w:val="00424869"/>
    <w:rsid w:val="004254DD"/>
    <w:rsid w:val="00425762"/>
    <w:rsid w:val="00426FFF"/>
    <w:rsid w:val="004277EB"/>
    <w:rsid w:val="004306CE"/>
    <w:rsid w:val="00432277"/>
    <w:rsid w:val="00432EEF"/>
    <w:rsid w:val="004357CD"/>
    <w:rsid w:val="004418F6"/>
    <w:rsid w:val="00442301"/>
    <w:rsid w:val="00442683"/>
    <w:rsid w:val="00443237"/>
    <w:rsid w:val="00444046"/>
    <w:rsid w:val="00444698"/>
    <w:rsid w:val="00444CE9"/>
    <w:rsid w:val="00445269"/>
    <w:rsid w:val="004466A1"/>
    <w:rsid w:val="00447A57"/>
    <w:rsid w:val="00447AF8"/>
    <w:rsid w:val="004513D6"/>
    <w:rsid w:val="00451CE8"/>
    <w:rsid w:val="00456822"/>
    <w:rsid w:val="00457B87"/>
    <w:rsid w:val="00457DF4"/>
    <w:rsid w:val="004625B4"/>
    <w:rsid w:val="00462D9E"/>
    <w:rsid w:val="00463BD0"/>
    <w:rsid w:val="0046450B"/>
    <w:rsid w:val="00465C27"/>
    <w:rsid w:val="004660FB"/>
    <w:rsid w:val="00466C91"/>
    <w:rsid w:val="004672B5"/>
    <w:rsid w:val="00472488"/>
    <w:rsid w:val="00472893"/>
    <w:rsid w:val="00474A14"/>
    <w:rsid w:val="004820DB"/>
    <w:rsid w:val="004830F2"/>
    <w:rsid w:val="00484573"/>
    <w:rsid w:val="00484C9B"/>
    <w:rsid w:val="00485C27"/>
    <w:rsid w:val="00490D23"/>
    <w:rsid w:val="0049116C"/>
    <w:rsid w:val="004920AA"/>
    <w:rsid w:val="00492BAD"/>
    <w:rsid w:val="00493D9E"/>
    <w:rsid w:val="00493E47"/>
    <w:rsid w:val="00494B8E"/>
    <w:rsid w:val="00495B6F"/>
    <w:rsid w:val="00496637"/>
    <w:rsid w:val="0049795F"/>
    <w:rsid w:val="004A043A"/>
    <w:rsid w:val="004A0E2B"/>
    <w:rsid w:val="004A21DB"/>
    <w:rsid w:val="004A238A"/>
    <w:rsid w:val="004A64D8"/>
    <w:rsid w:val="004A7174"/>
    <w:rsid w:val="004B10DE"/>
    <w:rsid w:val="004B1802"/>
    <w:rsid w:val="004B30C2"/>
    <w:rsid w:val="004B319E"/>
    <w:rsid w:val="004B3575"/>
    <w:rsid w:val="004B6063"/>
    <w:rsid w:val="004B62FF"/>
    <w:rsid w:val="004B7530"/>
    <w:rsid w:val="004C10F7"/>
    <w:rsid w:val="004C1255"/>
    <w:rsid w:val="004C1C34"/>
    <w:rsid w:val="004C1C39"/>
    <w:rsid w:val="004C2775"/>
    <w:rsid w:val="004C554B"/>
    <w:rsid w:val="004C6D01"/>
    <w:rsid w:val="004D099F"/>
    <w:rsid w:val="004D313E"/>
    <w:rsid w:val="004D6AFA"/>
    <w:rsid w:val="004E1367"/>
    <w:rsid w:val="004E33E9"/>
    <w:rsid w:val="004E443C"/>
    <w:rsid w:val="004E4F5E"/>
    <w:rsid w:val="004F04EA"/>
    <w:rsid w:val="004F15F5"/>
    <w:rsid w:val="004F3B60"/>
    <w:rsid w:val="004F3F75"/>
    <w:rsid w:val="004F6AD5"/>
    <w:rsid w:val="0050008A"/>
    <w:rsid w:val="00503074"/>
    <w:rsid w:val="005079F7"/>
    <w:rsid w:val="005128E9"/>
    <w:rsid w:val="00514306"/>
    <w:rsid w:val="00517C69"/>
    <w:rsid w:val="00521B0A"/>
    <w:rsid w:val="00522B83"/>
    <w:rsid w:val="00523B9A"/>
    <w:rsid w:val="00523EBA"/>
    <w:rsid w:val="00525520"/>
    <w:rsid w:val="00525753"/>
    <w:rsid w:val="00525CE5"/>
    <w:rsid w:val="00527817"/>
    <w:rsid w:val="00527D9C"/>
    <w:rsid w:val="00531387"/>
    <w:rsid w:val="00532BDE"/>
    <w:rsid w:val="00533839"/>
    <w:rsid w:val="005340DE"/>
    <w:rsid w:val="00534E92"/>
    <w:rsid w:val="00542DBC"/>
    <w:rsid w:val="005473F1"/>
    <w:rsid w:val="005477D5"/>
    <w:rsid w:val="00551D8D"/>
    <w:rsid w:val="0055237E"/>
    <w:rsid w:val="00554563"/>
    <w:rsid w:val="00554610"/>
    <w:rsid w:val="00554B95"/>
    <w:rsid w:val="005561B8"/>
    <w:rsid w:val="00557E8F"/>
    <w:rsid w:val="00557F06"/>
    <w:rsid w:val="00560187"/>
    <w:rsid w:val="00562AA3"/>
    <w:rsid w:val="0056519F"/>
    <w:rsid w:val="00567272"/>
    <w:rsid w:val="005716C0"/>
    <w:rsid w:val="005720D4"/>
    <w:rsid w:val="00572B8F"/>
    <w:rsid w:val="00573E8E"/>
    <w:rsid w:val="00576285"/>
    <w:rsid w:val="00576926"/>
    <w:rsid w:val="005770B6"/>
    <w:rsid w:val="00577DE9"/>
    <w:rsid w:val="00577EAE"/>
    <w:rsid w:val="005808F9"/>
    <w:rsid w:val="00582948"/>
    <w:rsid w:val="005836A4"/>
    <w:rsid w:val="00584E41"/>
    <w:rsid w:val="005918CD"/>
    <w:rsid w:val="00593146"/>
    <w:rsid w:val="00594222"/>
    <w:rsid w:val="00596A6B"/>
    <w:rsid w:val="00596D00"/>
    <w:rsid w:val="00596E72"/>
    <w:rsid w:val="00597FBF"/>
    <w:rsid w:val="005A0195"/>
    <w:rsid w:val="005A05DD"/>
    <w:rsid w:val="005A24F3"/>
    <w:rsid w:val="005A3ABF"/>
    <w:rsid w:val="005A6170"/>
    <w:rsid w:val="005B1894"/>
    <w:rsid w:val="005B1FCA"/>
    <w:rsid w:val="005B337F"/>
    <w:rsid w:val="005B5563"/>
    <w:rsid w:val="005B5804"/>
    <w:rsid w:val="005B64ED"/>
    <w:rsid w:val="005B7030"/>
    <w:rsid w:val="005C2E8E"/>
    <w:rsid w:val="005C3090"/>
    <w:rsid w:val="005C6960"/>
    <w:rsid w:val="005C722E"/>
    <w:rsid w:val="005C7A21"/>
    <w:rsid w:val="005D0D09"/>
    <w:rsid w:val="005D0EBF"/>
    <w:rsid w:val="005D591C"/>
    <w:rsid w:val="005E01B4"/>
    <w:rsid w:val="005E4C96"/>
    <w:rsid w:val="005E61BA"/>
    <w:rsid w:val="005F188D"/>
    <w:rsid w:val="005F2947"/>
    <w:rsid w:val="005F30DA"/>
    <w:rsid w:val="00602E30"/>
    <w:rsid w:val="00606A68"/>
    <w:rsid w:val="00610F6B"/>
    <w:rsid w:val="006139DB"/>
    <w:rsid w:val="00613EFF"/>
    <w:rsid w:val="00622098"/>
    <w:rsid w:val="006228F4"/>
    <w:rsid w:val="0062306C"/>
    <w:rsid w:val="00623A7E"/>
    <w:rsid w:val="00624E4B"/>
    <w:rsid w:val="00625B1E"/>
    <w:rsid w:val="00627307"/>
    <w:rsid w:val="00630B54"/>
    <w:rsid w:val="006321A5"/>
    <w:rsid w:val="0063475D"/>
    <w:rsid w:val="006359BB"/>
    <w:rsid w:val="00635ACB"/>
    <w:rsid w:val="006360B6"/>
    <w:rsid w:val="0063681C"/>
    <w:rsid w:val="00642EF7"/>
    <w:rsid w:val="00644740"/>
    <w:rsid w:val="00645C28"/>
    <w:rsid w:val="0065073A"/>
    <w:rsid w:val="006508AC"/>
    <w:rsid w:val="00652C30"/>
    <w:rsid w:val="00652DC1"/>
    <w:rsid w:val="00652ED8"/>
    <w:rsid w:val="0065409C"/>
    <w:rsid w:val="0066007B"/>
    <w:rsid w:val="006628EB"/>
    <w:rsid w:val="00662EEE"/>
    <w:rsid w:val="00663AD6"/>
    <w:rsid w:val="00664D00"/>
    <w:rsid w:val="00665A43"/>
    <w:rsid w:val="00666783"/>
    <w:rsid w:val="00666861"/>
    <w:rsid w:val="00670716"/>
    <w:rsid w:val="006750F1"/>
    <w:rsid w:val="00677A7C"/>
    <w:rsid w:val="0068262A"/>
    <w:rsid w:val="00683AE4"/>
    <w:rsid w:val="0068425D"/>
    <w:rsid w:val="00685E06"/>
    <w:rsid w:val="00686022"/>
    <w:rsid w:val="00686E4D"/>
    <w:rsid w:val="00686ED7"/>
    <w:rsid w:val="00687728"/>
    <w:rsid w:val="00690F59"/>
    <w:rsid w:val="00691831"/>
    <w:rsid w:val="006945EF"/>
    <w:rsid w:val="006A08FD"/>
    <w:rsid w:val="006A213B"/>
    <w:rsid w:val="006A21B1"/>
    <w:rsid w:val="006A21B6"/>
    <w:rsid w:val="006A2747"/>
    <w:rsid w:val="006A38E8"/>
    <w:rsid w:val="006A39DB"/>
    <w:rsid w:val="006A43E2"/>
    <w:rsid w:val="006A448F"/>
    <w:rsid w:val="006A4865"/>
    <w:rsid w:val="006A63BD"/>
    <w:rsid w:val="006A657A"/>
    <w:rsid w:val="006A6778"/>
    <w:rsid w:val="006A796C"/>
    <w:rsid w:val="006B0997"/>
    <w:rsid w:val="006B4378"/>
    <w:rsid w:val="006B7924"/>
    <w:rsid w:val="006C0F34"/>
    <w:rsid w:val="006C0F37"/>
    <w:rsid w:val="006C1A7F"/>
    <w:rsid w:val="006C29C5"/>
    <w:rsid w:val="006C2ED3"/>
    <w:rsid w:val="006C2FC5"/>
    <w:rsid w:val="006C560A"/>
    <w:rsid w:val="006C7A2A"/>
    <w:rsid w:val="006D002C"/>
    <w:rsid w:val="006D0D4A"/>
    <w:rsid w:val="006D2F1A"/>
    <w:rsid w:val="006D4354"/>
    <w:rsid w:val="006D4459"/>
    <w:rsid w:val="006D4E69"/>
    <w:rsid w:val="006D6451"/>
    <w:rsid w:val="006D6C97"/>
    <w:rsid w:val="006D7668"/>
    <w:rsid w:val="006E05E8"/>
    <w:rsid w:val="006E09F5"/>
    <w:rsid w:val="006E0C7F"/>
    <w:rsid w:val="006E14E0"/>
    <w:rsid w:val="006E15A9"/>
    <w:rsid w:val="006E5312"/>
    <w:rsid w:val="006E7960"/>
    <w:rsid w:val="006F0BCC"/>
    <w:rsid w:val="006F0FB4"/>
    <w:rsid w:val="006F260E"/>
    <w:rsid w:val="006F27B1"/>
    <w:rsid w:val="006F62AE"/>
    <w:rsid w:val="006F6BF3"/>
    <w:rsid w:val="006F797B"/>
    <w:rsid w:val="007007DF"/>
    <w:rsid w:val="007040BA"/>
    <w:rsid w:val="0070599B"/>
    <w:rsid w:val="007059F3"/>
    <w:rsid w:val="00705C35"/>
    <w:rsid w:val="00706BC1"/>
    <w:rsid w:val="00711146"/>
    <w:rsid w:val="00711EDB"/>
    <w:rsid w:val="0071283D"/>
    <w:rsid w:val="00715942"/>
    <w:rsid w:val="00723CF8"/>
    <w:rsid w:val="00725107"/>
    <w:rsid w:val="0072529E"/>
    <w:rsid w:val="00725758"/>
    <w:rsid w:val="00725F02"/>
    <w:rsid w:val="00731BCE"/>
    <w:rsid w:val="00731D96"/>
    <w:rsid w:val="00733DC2"/>
    <w:rsid w:val="007367E1"/>
    <w:rsid w:val="00736842"/>
    <w:rsid w:val="0074083E"/>
    <w:rsid w:val="0074246F"/>
    <w:rsid w:val="00744737"/>
    <w:rsid w:val="00744C2E"/>
    <w:rsid w:val="00746991"/>
    <w:rsid w:val="007472BC"/>
    <w:rsid w:val="0075452C"/>
    <w:rsid w:val="007550E0"/>
    <w:rsid w:val="00755C55"/>
    <w:rsid w:val="00757BA6"/>
    <w:rsid w:val="00757CBF"/>
    <w:rsid w:val="0076033B"/>
    <w:rsid w:val="007608AD"/>
    <w:rsid w:val="00760B25"/>
    <w:rsid w:val="00763529"/>
    <w:rsid w:val="00763FC0"/>
    <w:rsid w:val="007659F1"/>
    <w:rsid w:val="00766382"/>
    <w:rsid w:val="00766A97"/>
    <w:rsid w:val="00767C3B"/>
    <w:rsid w:val="00771A00"/>
    <w:rsid w:val="00772259"/>
    <w:rsid w:val="00773223"/>
    <w:rsid w:val="00775AA1"/>
    <w:rsid w:val="00776CF3"/>
    <w:rsid w:val="0077708C"/>
    <w:rsid w:val="00777F7F"/>
    <w:rsid w:val="00780C46"/>
    <w:rsid w:val="007811A2"/>
    <w:rsid w:val="00782CDF"/>
    <w:rsid w:val="00785CDE"/>
    <w:rsid w:val="00787A3A"/>
    <w:rsid w:val="00793947"/>
    <w:rsid w:val="007940BD"/>
    <w:rsid w:val="007947CA"/>
    <w:rsid w:val="007948B6"/>
    <w:rsid w:val="007A16E9"/>
    <w:rsid w:val="007A29DC"/>
    <w:rsid w:val="007A3E54"/>
    <w:rsid w:val="007A43D3"/>
    <w:rsid w:val="007A514D"/>
    <w:rsid w:val="007A5EB9"/>
    <w:rsid w:val="007B1DD8"/>
    <w:rsid w:val="007B3B38"/>
    <w:rsid w:val="007B654E"/>
    <w:rsid w:val="007B7184"/>
    <w:rsid w:val="007B7A41"/>
    <w:rsid w:val="007C5024"/>
    <w:rsid w:val="007D0D5D"/>
    <w:rsid w:val="007D1F9B"/>
    <w:rsid w:val="007D33A9"/>
    <w:rsid w:val="007E0004"/>
    <w:rsid w:val="007E0B00"/>
    <w:rsid w:val="007E1429"/>
    <w:rsid w:val="007E2D14"/>
    <w:rsid w:val="007F2187"/>
    <w:rsid w:val="007F5BA7"/>
    <w:rsid w:val="007F6AF5"/>
    <w:rsid w:val="007F728F"/>
    <w:rsid w:val="008004EE"/>
    <w:rsid w:val="008009D5"/>
    <w:rsid w:val="0080111E"/>
    <w:rsid w:val="00801FBB"/>
    <w:rsid w:val="008024F3"/>
    <w:rsid w:val="00803127"/>
    <w:rsid w:val="00805C06"/>
    <w:rsid w:val="0080728C"/>
    <w:rsid w:val="00807D36"/>
    <w:rsid w:val="0081189F"/>
    <w:rsid w:val="00811F30"/>
    <w:rsid w:val="00812A3E"/>
    <w:rsid w:val="00813203"/>
    <w:rsid w:val="00814644"/>
    <w:rsid w:val="00816BA0"/>
    <w:rsid w:val="00817BD2"/>
    <w:rsid w:val="00817DBB"/>
    <w:rsid w:val="00817EF8"/>
    <w:rsid w:val="00824064"/>
    <w:rsid w:val="008240F2"/>
    <w:rsid w:val="00825294"/>
    <w:rsid w:val="0082555E"/>
    <w:rsid w:val="00825CC4"/>
    <w:rsid w:val="008274F2"/>
    <w:rsid w:val="00827A54"/>
    <w:rsid w:val="00827D51"/>
    <w:rsid w:val="00832EF2"/>
    <w:rsid w:val="00832F8A"/>
    <w:rsid w:val="0083328D"/>
    <w:rsid w:val="0083401A"/>
    <w:rsid w:val="00834DF0"/>
    <w:rsid w:val="008356F3"/>
    <w:rsid w:val="00835858"/>
    <w:rsid w:val="0083783A"/>
    <w:rsid w:val="008455AE"/>
    <w:rsid w:val="00845695"/>
    <w:rsid w:val="00847785"/>
    <w:rsid w:val="00847A95"/>
    <w:rsid w:val="0085122A"/>
    <w:rsid w:val="008522BA"/>
    <w:rsid w:val="00852549"/>
    <w:rsid w:val="00855DA6"/>
    <w:rsid w:val="00862437"/>
    <w:rsid w:val="00866637"/>
    <w:rsid w:val="00866F29"/>
    <w:rsid w:val="00867EF6"/>
    <w:rsid w:val="00870514"/>
    <w:rsid w:val="00872018"/>
    <w:rsid w:val="00872342"/>
    <w:rsid w:val="0087274D"/>
    <w:rsid w:val="00872813"/>
    <w:rsid w:val="008738ED"/>
    <w:rsid w:val="00877385"/>
    <w:rsid w:val="008775FE"/>
    <w:rsid w:val="00877EFB"/>
    <w:rsid w:val="00880460"/>
    <w:rsid w:val="0088535C"/>
    <w:rsid w:val="0088546C"/>
    <w:rsid w:val="00885A0E"/>
    <w:rsid w:val="00886B82"/>
    <w:rsid w:val="00886D97"/>
    <w:rsid w:val="00887BF1"/>
    <w:rsid w:val="008907D2"/>
    <w:rsid w:val="00891EAF"/>
    <w:rsid w:val="008926CB"/>
    <w:rsid w:val="0089274D"/>
    <w:rsid w:val="00892BEA"/>
    <w:rsid w:val="00893419"/>
    <w:rsid w:val="0089523A"/>
    <w:rsid w:val="00895F34"/>
    <w:rsid w:val="008A4EFD"/>
    <w:rsid w:val="008A65D4"/>
    <w:rsid w:val="008B037C"/>
    <w:rsid w:val="008B08D9"/>
    <w:rsid w:val="008B4239"/>
    <w:rsid w:val="008B5CE4"/>
    <w:rsid w:val="008B71C9"/>
    <w:rsid w:val="008B7B2C"/>
    <w:rsid w:val="008C0BFA"/>
    <w:rsid w:val="008C26F9"/>
    <w:rsid w:val="008C3C0E"/>
    <w:rsid w:val="008C43CD"/>
    <w:rsid w:val="008C5719"/>
    <w:rsid w:val="008C6ACE"/>
    <w:rsid w:val="008D01AD"/>
    <w:rsid w:val="008D46A6"/>
    <w:rsid w:val="008D6B93"/>
    <w:rsid w:val="008E241E"/>
    <w:rsid w:val="008E39FF"/>
    <w:rsid w:val="008E3B9A"/>
    <w:rsid w:val="008E3BC6"/>
    <w:rsid w:val="008E4E3F"/>
    <w:rsid w:val="008E5679"/>
    <w:rsid w:val="008E7890"/>
    <w:rsid w:val="008E7EE9"/>
    <w:rsid w:val="008F059F"/>
    <w:rsid w:val="008F13FC"/>
    <w:rsid w:val="008F27C7"/>
    <w:rsid w:val="008F30B8"/>
    <w:rsid w:val="008F497A"/>
    <w:rsid w:val="008F7D51"/>
    <w:rsid w:val="008F7D8B"/>
    <w:rsid w:val="00901E56"/>
    <w:rsid w:val="0090686D"/>
    <w:rsid w:val="00907C4A"/>
    <w:rsid w:val="00914CBE"/>
    <w:rsid w:val="00915273"/>
    <w:rsid w:val="009166F2"/>
    <w:rsid w:val="00917A65"/>
    <w:rsid w:val="00917BD9"/>
    <w:rsid w:val="00917F1B"/>
    <w:rsid w:val="0092032B"/>
    <w:rsid w:val="00934E35"/>
    <w:rsid w:val="00935DC0"/>
    <w:rsid w:val="00937AC7"/>
    <w:rsid w:val="009407EF"/>
    <w:rsid w:val="00942339"/>
    <w:rsid w:val="00943153"/>
    <w:rsid w:val="0094360B"/>
    <w:rsid w:val="00945F55"/>
    <w:rsid w:val="009474CE"/>
    <w:rsid w:val="00947B5A"/>
    <w:rsid w:val="0095231F"/>
    <w:rsid w:val="00952C21"/>
    <w:rsid w:val="00960EF9"/>
    <w:rsid w:val="00961E16"/>
    <w:rsid w:val="0096611E"/>
    <w:rsid w:val="009674EF"/>
    <w:rsid w:val="0097145E"/>
    <w:rsid w:val="009714DF"/>
    <w:rsid w:val="00972893"/>
    <w:rsid w:val="00972FEB"/>
    <w:rsid w:val="00973A8A"/>
    <w:rsid w:val="0097438B"/>
    <w:rsid w:val="00976B81"/>
    <w:rsid w:val="00976E7E"/>
    <w:rsid w:val="0098043F"/>
    <w:rsid w:val="00982BDE"/>
    <w:rsid w:val="0098328C"/>
    <w:rsid w:val="00985F97"/>
    <w:rsid w:val="00991072"/>
    <w:rsid w:val="00992674"/>
    <w:rsid w:val="00992E6A"/>
    <w:rsid w:val="0099315C"/>
    <w:rsid w:val="00994A24"/>
    <w:rsid w:val="00994B48"/>
    <w:rsid w:val="0099613B"/>
    <w:rsid w:val="0099675C"/>
    <w:rsid w:val="009A0BAC"/>
    <w:rsid w:val="009A2C8C"/>
    <w:rsid w:val="009A3FC1"/>
    <w:rsid w:val="009A470A"/>
    <w:rsid w:val="009A62DF"/>
    <w:rsid w:val="009A63F5"/>
    <w:rsid w:val="009B16F5"/>
    <w:rsid w:val="009B249A"/>
    <w:rsid w:val="009B32D7"/>
    <w:rsid w:val="009B37E2"/>
    <w:rsid w:val="009B3F84"/>
    <w:rsid w:val="009B4B2B"/>
    <w:rsid w:val="009B4C48"/>
    <w:rsid w:val="009C0668"/>
    <w:rsid w:val="009C65BD"/>
    <w:rsid w:val="009C6E96"/>
    <w:rsid w:val="009D0642"/>
    <w:rsid w:val="009D074D"/>
    <w:rsid w:val="009D075D"/>
    <w:rsid w:val="009D11B7"/>
    <w:rsid w:val="009D166C"/>
    <w:rsid w:val="009D1CC6"/>
    <w:rsid w:val="009D2620"/>
    <w:rsid w:val="009D2FFB"/>
    <w:rsid w:val="009D7EF4"/>
    <w:rsid w:val="009E137B"/>
    <w:rsid w:val="009E2791"/>
    <w:rsid w:val="009E5D5F"/>
    <w:rsid w:val="009E68F6"/>
    <w:rsid w:val="009F18A2"/>
    <w:rsid w:val="009F2D65"/>
    <w:rsid w:val="009F35DC"/>
    <w:rsid w:val="009F50AB"/>
    <w:rsid w:val="00A001EF"/>
    <w:rsid w:val="00A01A4E"/>
    <w:rsid w:val="00A02992"/>
    <w:rsid w:val="00A05542"/>
    <w:rsid w:val="00A0698B"/>
    <w:rsid w:val="00A071B6"/>
    <w:rsid w:val="00A10BB8"/>
    <w:rsid w:val="00A13702"/>
    <w:rsid w:val="00A13E4C"/>
    <w:rsid w:val="00A152A0"/>
    <w:rsid w:val="00A200F8"/>
    <w:rsid w:val="00A20890"/>
    <w:rsid w:val="00A22A6B"/>
    <w:rsid w:val="00A26AAD"/>
    <w:rsid w:val="00A278E6"/>
    <w:rsid w:val="00A30B98"/>
    <w:rsid w:val="00A35288"/>
    <w:rsid w:val="00A35BDF"/>
    <w:rsid w:val="00A371F5"/>
    <w:rsid w:val="00A37263"/>
    <w:rsid w:val="00A408CB"/>
    <w:rsid w:val="00A411D9"/>
    <w:rsid w:val="00A41B41"/>
    <w:rsid w:val="00A43CEB"/>
    <w:rsid w:val="00A4552A"/>
    <w:rsid w:val="00A460C0"/>
    <w:rsid w:val="00A469D1"/>
    <w:rsid w:val="00A50DF7"/>
    <w:rsid w:val="00A54255"/>
    <w:rsid w:val="00A55B5B"/>
    <w:rsid w:val="00A55FE3"/>
    <w:rsid w:val="00A55FF5"/>
    <w:rsid w:val="00A56F4D"/>
    <w:rsid w:val="00A618F1"/>
    <w:rsid w:val="00A61ADF"/>
    <w:rsid w:val="00A61CD2"/>
    <w:rsid w:val="00A62AD3"/>
    <w:rsid w:val="00A62E51"/>
    <w:rsid w:val="00A63E11"/>
    <w:rsid w:val="00A70257"/>
    <w:rsid w:val="00A725B0"/>
    <w:rsid w:val="00A72A35"/>
    <w:rsid w:val="00A76A1B"/>
    <w:rsid w:val="00A77EE9"/>
    <w:rsid w:val="00A809A1"/>
    <w:rsid w:val="00A816F7"/>
    <w:rsid w:val="00A82CEA"/>
    <w:rsid w:val="00A83F13"/>
    <w:rsid w:val="00A84337"/>
    <w:rsid w:val="00A8560C"/>
    <w:rsid w:val="00A85900"/>
    <w:rsid w:val="00A85C71"/>
    <w:rsid w:val="00A867C7"/>
    <w:rsid w:val="00A86B34"/>
    <w:rsid w:val="00A902A6"/>
    <w:rsid w:val="00A9102F"/>
    <w:rsid w:val="00A916E8"/>
    <w:rsid w:val="00A92886"/>
    <w:rsid w:val="00A93664"/>
    <w:rsid w:val="00A958C5"/>
    <w:rsid w:val="00A95CD7"/>
    <w:rsid w:val="00A9640C"/>
    <w:rsid w:val="00A97119"/>
    <w:rsid w:val="00A9727C"/>
    <w:rsid w:val="00A97A09"/>
    <w:rsid w:val="00AA3972"/>
    <w:rsid w:val="00AA43F6"/>
    <w:rsid w:val="00AA4766"/>
    <w:rsid w:val="00AA486A"/>
    <w:rsid w:val="00AA4B7D"/>
    <w:rsid w:val="00AA5028"/>
    <w:rsid w:val="00AA5B7F"/>
    <w:rsid w:val="00AA6BB8"/>
    <w:rsid w:val="00AA6D86"/>
    <w:rsid w:val="00AB0775"/>
    <w:rsid w:val="00AB12C1"/>
    <w:rsid w:val="00AB3B53"/>
    <w:rsid w:val="00AB51D0"/>
    <w:rsid w:val="00AB547F"/>
    <w:rsid w:val="00AB6416"/>
    <w:rsid w:val="00AB69F2"/>
    <w:rsid w:val="00AB744A"/>
    <w:rsid w:val="00AB74D5"/>
    <w:rsid w:val="00AC0402"/>
    <w:rsid w:val="00AC1F3C"/>
    <w:rsid w:val="00AD08AD"/>
    <w:rsid w:val="00AD0E79"/>
    <w:rsid w:val="00AD36EE"/>
    <w:rsid w:val="00AD60C1"/>
    <w:rsid w:val="00AD6850"/>
    <w:rsid w:val="00AD6CCB"/>
    <w:rsid w:val="00AF0216"/>
    <w:rsid w:val="00AF38CC"/>
    <w:rsid w:val="00AF44DF"/>
    <w:rsid w:val="00AF46D9"/>
    <w:rsid w:val="00B01FE0"/>
    <w:rsid w:val="00B06340"/>
    <w:rsid w:val="00B064A1"/>
    <w:rsid w:val="00B0708E"/>
    <w:rsid w:val="00B07302"/>
    <w:rsid w:val="00B1155C"/>
    <w:rsid w:val="00B11B3F"/>
    <w:rsid w:val="00B13165"/>
    <w:rsid w:val="00B13927"/>
    <w:rsid w:val="00B1501C"/>
    <w:rsid w:val="00B154BF"/>
    <w:rsid w:val="00B21DB5"/>
    <w:rsid w:val="00B23A97"/>
    <w:rsid w:val="00B2495C"/>
    <w:rsid w:val="00B27D87"/>
    <w:rsid w:val="00B3115D"/>
    <w:rsid w:val="00B3210E"/>
    <w:rsid w:val="00B32F8C"/>
    <w:rsid w:val="00B332BE"/>
    <w:rsid w:val="00B338CC"/>
    <w:rsid w:val="00B34B6C"/>
    <w:rsid w:val="00B356FE"/>
    <w:rsid w:val="00B379F4"/>
    <w:rsid w:val="00B37DEC"/>
    <w:rsid w:val="00B41919"/>
    <w:rsid w:val="00B44E66"/>
    <w:rsid w:val="00B45304"/>
    <w:rsid w:val="00B45823"/>
    <w:rsid w:val="00B46B54"/>
    <w:rsid w:val="00B50269"/>
    <w:rsid w:val="00B51A28"/>
    <w:rsid w:val="00B51B30"/>
    <w:rsid w:val="00B52EE3"/>
    <w:rsid w:val="00B548D6"/>
    <w:rsid w:val="00B55AA8"/>
    <w:rsid w:val="00B55C80"/>
    <w:rsid w:val="00B56EC0"/>
    <w:rsid w:val="00B57EB8"/>
    <w:rsid w:val="00B61F06"/>
    <w:rsid w:val="00B667F8"/>
    <w:rsid w:val="00B66953"/>
    <w:rsid w:val="00B679ED"/>
    <w:rsid w:val="00B70764"/>
    <w:rsid w:val="00B715F0"/>
    <w:rsid w:val="00B71884"/>
    <w:rsid w:val="00B71CA1"/>
    <w:rsid w:val="00B72383"/>
    <w:rsid w:val="00B72ACF"/>
    <w:rsid w:val="00B74222"/>
    <w:rsid w:val="00B76770"/>
    <w:rsid w:val="00B77957"/>
    <w:rsid w:val="00B85CED"/>
    <w:rsid w:val="00B87B46"/>
    <w:rsid w:val="00B904FE"/>
    <w:rsid w:val="00B907B5"/>
    <w:rsid w:val="00B90EE9"/>
    <w:rsid w:val="00B9187A"/>
    <w:rsid w:val="00B91C1E"/>
    <w:rsid w:val="00B9224B"/>
    <w:rsid w:val="00B94626"/>
    <w:rsid w:val="00B9672A"/>
    <w:rsid w:val="00BA0294"/>
    <w:rsid w:val="00BA16EA"/>
    <w:rsid w:val="00BA2233"/>
    <w:rsid w:val="00BA2864"/>
    <w:rsid w:val="00BA28CB"/>
    <w:rsid w:val="00BA34E8"/>
    <w:rsid w:val="00BA3C81"/>
    <w:rsid w:val="00BB15BE"/>
    <w:rsid w:val="00BB2879"/>
    <w:rsid w:val="00BB2C54"/>
    <w:rsid w:val="00BB2EEA"/>
    <w:rsid w:val="00BB402E"/>
    <w:rsid w:val="00BB4D03"/>
    <w:rsid w:val="00BB5890"/>
    <w:rsid w:val="00BB5891"/>
    <w:rsid w:val="00BB6205"/>
    <w:rsid w:val="00BB73B0"/>
    <w:rsid w:val="00BB79E3"/>
    <w:rsid w:val="00BB7FBC"/>
    <w:rsid w:val="00BC3EFA"/>
    <w:rsid w:val="00BC403F"/>
    <w:rsid w:val="00BD0CD3"/>
    <w:rsid w:val="00BD16F3"/>
    <w:rsid w:val="00BD1C8F"/>
    <w:rsid w:val="00BD2EA2"/>
    <w:rsid w:val="00BD303E"/>
    <w:rsid w:val="00BD5839"/>
    <w:rsid w:val="00BD667E"/>
    <w:rsid w:val="00BD7855"/>
    <w:rsid w:val="00BD7C1D"/>
    <w:rsid w:val="00BE01FE"/>
    <w:rsid w:val="00BE1A4F"/>
    <w:rsid w:val="00BE3F8B"/>
    <w:rsid w:val="00BE5CE2"/>
    <w:rsid w:val="00BE617E"/>
    <w:rsid w:val="00BE7FB4"/>
    <w:rsid w:val="00BF5800"/>
    <w:rsid w:val="00BF79BE"/>
    <w:rsid w:val="00C01665"/>
    <w:rsid w:val="00C026C6"/>
    <w:rsid w:val="00C02CE2"/>
    <w:rsid w:val="00C04A36"/>
    <w:rsid w:val="00C05276"/>
    <w:rsid w:val="00C075E6"/>
    <w:rsid w:val="00C12E7C"/>
    <w:rsid w:val="00C1328E"/>
    <w:rsid w:val="00C132E4"/>
    <w:rsid w:val="00C143E6"/>
    <w:rsid w:val="00C148C8"/>
    <w:rsid w:val="00C14A62"/>
    <w:rsid w:val="00C15ECB"/>
    <w:rsid w:val="00C17474"/>
    <w:rsid w:val="00C17C3D"/>
    <w:rsid w:val="00C21205"/>
    <w:rsid w:val="00C21363"/>
    <w:rsid w:val="00C22214"/>
    <w:rsid w:val="00C2260E"/>
    <w:rsid w:val="00C24774"/>
    <w:rsid w:val="00C25387"/>
    <w:rsid w:val="00C26A13"/>
    <w:rsid w:val="00C27D8C"/>
    <w:rsid w:val="00C30EA2"/>
    <w:rsid w:val="00C31D1A"/>
    <w:rsid w:val="00C32A9F"/>
    <w:rsid w:val="00C3406E"/>
    <w:rsid w:val="00C34493"/>
    <w:rsid w:val="00C36526"/>
    <w:rsid w:val="00C4085C"/>
    <w:rsid w:val="00C43DD7"/>
    <w:rsid w:val="00C45D25"/>
    <w:rsid w:val="00C474C8"/>
    <w:rsid w:val="00C51F7C"/>
    <w:rsid w:val="00C5411C"/>
    <w:rsid w:val="00C55D7C"/>
    <w:rsid w:val="00C573FC"/>
    <w:rsid w:val="00C612C1"/>
    <w:rsid w:val="00C61DDA"/>
    <w:rsid w:val="00C661FC"/>
    <w:rsid w:val="00C66C5D"/>
    <w:rsid w:val="00C67D23"/>
    <w:rsid w:val="00C700AE"/>
    <w:rsid w:val="00C7019A"/>
    <w:rsid w:val="00C71D98"/>
    <w:rsid w:val="00C732D8"/>
    <w:rsid w:val="00C7342B"/>
    <w:rsid w:val="00C75F36"/>
    <w:rsid w:val="00C766C9"/>
    <w:rsid w:val="00C77B66"/>
    <w:rsid w:val="00C80175"/>
    <w:rsid w:val="00C80B4A"/>
    <w:rsid w:val="00C812A4"/>
    <w:rsid w:val="00C82703"/>
    <w:rsid w:val="00C837CE"/>
    <w:rsid w:val="00C85233"/>
    <w:rsid w:val="00C85ABD"/>
    <w:rsid w:val="00C8635D"/>
    <w:rsid w:val="00C92B5D"/>
    <w:rsid w:val="00C93247"/>
    <w:rsid w:val="00C93989"/>
    <w:rsid w:val="00C948C0"/>
    <w:rsid w:val="00C95C0C"/>
    <w:rsid w:val="00C967C5"/>
    <w:rsid w:val="00CA0FAC"/>
    <w:rsid w:val="00CA3029"/>
    <w:rsid w:val="00CA44C7"/>
    <w:rsid w:val="00CA6319"/>
    <w:rsid w:val="00CB05B9"/>
    <w:rsid w:val="00CB0E2F"/>
    <w:rsid w:val="00CB12D9"/>
    <w:rsid w:val="00CB7B8C"/>
    <w:rsid w:val="00CC1A10"/>
    <w:rsid w:val="00CC299D"/>
    <w:rsid w:val="00CC32CD"/>
    <w:rsid w:val="00CC60AA"/>
    <w:rsid w:val="00CD763D"/>
    <w:rsid w:val="00CD7F2F"/>
    <w:rsid w:val="00CE0DAF"/>
    <w:rsid w:val="00CE27CC"/>
    <w:rsid w:val="00CE28F0"/>
    <w:rsid w:val="00CE681C"/>
    <w:rsid w:val="00CF0253"/>
    <w:rsid w:val="00CF67E5"/>
    <w:rsid w:val="00CF7501"/>
    <w:rsid w:val="00D019B9"/>
    <w:rsid w:val="00D0260B"/>
    <w:rsid w:val="00D02976"/>
    <w:rsid w:val="00D034D8"/>
    <w:rsid w:val="00D03768"/>
    <w:rsid w:val="00D03917"/>
    <w:rsid w:val="00D04BD4"/>
    <w:rsid w:val="00D04CAA"/>
    <w:rsid w:val="00D04D1C"/>
    <w:rsid w:val="00D05C0F"/>
    <w:rsid w:val="00D07800"/>
    <w:rsid w:val="00D10E34"/>
    <w:rsid w:val="00D11346"/>
    <w:rsid w:val="00D1473D"/>
    <w:rsid w:val="00D20DA8"/>
    <w:rsid w:val="00D223E1"/>
    <w:rsid w:val="00D23CBD"/>
    <w:rsid w:val="00D240EF"/>
    <w:rsid w:val="00D2465E"/>
    <w:rsid w:val="00D2659A"/>
    <w:rsid w:val="00D27268"/>
    <w:rsid w:val="00D357BF"/>
    <w:rsid w:val="00D3598A"/>
    <w:rsid w:val="00D40AF1"/>
    <w:rsid w:val="00D422A8"/>
    <w:rsid w:val="00D43C52"/>
    <w:rsid w:val="00D46E43"/>
    <w:rsid w:val="00D47461"/>
    <w:rsid w:val="00D51E11"/>
    <w:rsid w:val="00D5701D"/>
    <w:rsid w:val="00D617B7"/>
    <w:rsid w:val="00D61AD1"/>
    <w:rsid w:val="00D62246"/>
    <w:rsid w:val="00D648D3"/>
    <w:rsid w:val="00D64CE7"/>
    <w:rsid w:val="00D64F26"/>
    <w:rsid w:val="00D70688"/>
    <w:rsid w:val="00D72499"/>
    <w:rsid w:val="00D72F64"/>
    <w:rsid w:val="00D75577"/>
    <w:rsid w:val="00D762F7"/>
    <w:rsid w:val="00D76638"/>
    <w:rsid w:val="00D77A20"/>
    <w:rsid w:val="00D80474"/>
    <w:rsid w:val="00D80A73"/>
    <w:rsid w:val="00D814E1"/>
    <w:rsid w:val="00D86B33"/>
    <w:rsid w:val="00D86E33"/>
    <w:rsid w:val="00D91148"/>
    <w:rsid w:val="00D91512"/>
    <w:rsid w:val="00D9161D"/>
    <w:rsid w:val="00D91653"/>
    <w:rsid w:val="00D96A2B"/>
    <w:rsid w:val="00D96DBB"/>
    <w:rsid w:val="00DA0B29"/>
    <w:rsid w:val="00DB1D1B"/>
    <w:rsid w:val="00DB2AAF"/>
    <w:rsid w:val="00DC01DD"/>
    <w:rsid w:val="00DC082E"/>
    <w:rsid w:val="00DD0E7B"/>
    <w:rsid w:val="00DD138D"/>
    <w:rsid w:val="00DD2509"/>
    <w:rsid w:val="00DD42B9"/>
    <w:rsid w:val="00DD4311"/>
    <w:rsid w:val="00DD559C"/>
    <w:rsid w:val="00DD59FD"/>
    <w:rsid w:val="00DD5AFD"/>
    <w:rsid w:val="00DE0032"/>
    <w:rsid w:val="00DE012E"/>
    <w:rsid w:val="00DE0F10"/>
    <w:rsid w:val="00DE242C"/>
    <w:rsid w:val="00DE249B"/>
    <w:rsid w:val="00DE41F3"/>
    <w:rsid w:val="00DE447E"/>
    <w:rsid w:val="00DE5C18"/>
    <w:rsid w:val="00DE70F9"/>
    <w:rsid w:val="00DE7421"/>
    <w:rsid w:val="00DE7AD2"/>
    <w:rsid w:val="00DF0B15"/>
    <w:rsid w:val="00DF2279"/>
    <w:rsid w:val="00DF329D"/>
    <w:rsid w:val="00DF6C78"/>
    <w:rsid w:val="00DF78FC"/>
    <w:rsid w:val="00E01F7C"/>
    <w:rsid w:val="00E02D0A"/>
    <w:rsid w:val="00E02F69"/>
    <w:rsid w:val="00E055D8"/>
    <w:rsid w:val="00E05AB7"/>
    <w:rsid w:val="00E0662C"/>
    <w:rsid w:val="00E114C0"/>
    <w:rsid w:val="00E12520"/>
    <w:rsid w:val="00E172ED"/>
    <w:rsid w:val="00E21B9D"/>
    <w:rsid w:val="00E24476"/>
    <w:rsid w:val="00E3426F"/>
    <w:rsid w:val="00E3566A"/>
    <w:rsid w:val="00E368F9"/>
    <w:rsid w:val="00E378A8"/>
    <w:rsid w:val="00E40FE0"/>
    <w:rsid w:val="00E41559"/>
    <w:rsid w:val="00E41AF6"/>
    <w:rsid w:val="00E4391B"/>
    <w:rsid w:val="00E453F2"/>
    <w:rsid w:val="00E45984"/>
    <w:rsid w:val="00E47B1D"/>
    <w:rsid w:val="00E5243E"/>
    <w:rsid w:val="00E53178"/>
    <w:rsid w:val="00E53543"/>
    <w:rsid w:val="00E54406"/>
    <w:rsid w:val="00E55AB2"/>
    <w:rsid w:val="00E56513"/>
    <w:rsid w:val="00E5724D"/>
    <w:rsid w:val="00E60D7F"/>
    <w:rsid w:val="00E618F0"/>
    <w:rsid w:val="00E61D51"/>
    <w:rsid w:val="00E6219C"/>
    <w:rsid w:val="00E623F4"/>
    <w:rsid w:val="00E628AD"/>
    <w:rsid w:val="00E62CA6"/>
    <w:rsid w:val="00E64C62"/>
    <w:rsid w:val="00E64F01"/>
    <w:rsid w:val="00E651F0"/>
    <w:rsid w:val="00E700A6"/>
    <w:rsid w:val="00E70707"/>
    <w:rsid w:val="00E71768"/>
    <w:rsid w:val="00E81011"/>
    <w:rsid w:val="00E816A5"/>
    <w:rsid w:val="00E87869"/>
    <w:rsid w:val="00E9102C"/>
    <w:rsid w:val="00E925B8"/>
    <w:rsid w:val="00E92B3A"/>
    <w:rsid w:val="00E9312A"/>
    <w:rsid w:val="00E935C0"/>
    <w:rsid w:val="00E93898"/>
    <w:rsid w:val="00E93FD3"/>
    <w:rsid w:val="00E94AB1"/>
    <w:rsid w:val="00E94DD1"/>
    <w:rsid w:val="00E9561B"/>
    <w:rsid w:val="00E97312"/>
    <w:rsid w:val="00EA120E"/>
    <w:rsid w:val="00EA16AC"/>
    <w:rsid w:val="00EA17E4"/>
    <w:rsid w:val="00EA2093"/>
    <w:rsid w:val="00EA3F9F"/>
    <w:rsid w:val="00EA4FFE"/>
    <w:rsid w:val="00EA5714"/>
    <w:rsid w:val="00EA7070"/>
    <w:rsid w:val="00EB0743"/>
    <w:rsid w:val="00EB3BCB"/>
    <w:rsid w:val="00EB513A"/>
    <w:rsid w:val="00EB614E"/>
    <w:rsid w:val="00EB68E4"/>
    <w:rsid w:val="00EC014D"/>
    <w:rsid w:val="00EC2D30"/>
    <w:rsid w:val="00EC5C18"/>
    <w:rsid w:val="00ED1EA8"/>
    <w:rsid w:val="00ED2268"/>
    <w:rsid w:val="00ED366B"/>
    <w:rsid w:val="00ED7C22"/>
    <w:rsid w:val="00EE19B1"/>
    <w:rsid w:val="00EE2A8F"/>
    <w:rsid w:val="00EE40B9"/>
    <w:rsid w:val="00EE4D3F"/>
    <w:rsid w:val="00EE51B5"/>
    <w:rsid w:val="00EF1F9E"/>
    <w:rsid w:val="00EF3EE5"/>
    <w:rsid w:val="00EF61B1"/>
    <w:rsid w:val="00EF67D5"/>
    <w:rsid w:val="00EF78D7"/>
    <w:rsid w:val="00F003B7"/>
    <w:rsid w:val="00F021B2"/>
    <w:rsid w:val="00F05CD2"/>
    <w:rsid w:val="00F0682F"/>
    <w:rsid w:val="00F071EF"/>
    <w:rsid w:val="00F10937"/>
    <w:rsid w:val="00F11DED"/>
    <w:rsid w:val="00F17D5D"/>
    <w:rsid w:val="00F249B2"/>
    <w:rsid w:val="00F25974"/>
    <w:rsid w:val="00F27853"/>
    <w:rsid w:val="00F27C9E"/>
    <w:rsid w:val="00F3124D"/>
    <w:rsid w:val="00F33F85"/>
    <w:rsid w:val="00F33FE7"/>
    <w:rsid w:val="00F3692A"/>
    <w:rsid w:val="00F3706F"/>
    <w:rsid w:val="00F37F48"/>
    <w:rsid w:val="00F402CC"/>
    <w:rsid w:val="00F4152F"/>
    <w:rsid w:val="00F41D57"/>
    <w:rsid w:val="00F436B1"/>
    <w:rsid w:val="00F439FC"/>
    <w:rsid w:val="00F45350"/>
    <w:rsid w:val="00F4755D"/>
    <w:rsid w:val="00F54676"/>
    <w:rsid w:val="00F54890"/>
    <w:rsid w:val="00F554BD"/>
    <w:rsid w:val="00F55D00"/>
    <w:rsid w:val="00F56B23"/>
    <w:rsid w:val="00F619CE"/>
    <w:rsid w:val="00F650EE"/>
    <w:rsid w:val="00F725E2"/>
    <w:rsid w:val="00F74ED6"/>
    <w:rsid w:val="00F76136"/>
    <w:rsid w:val="00F768D4"/>
    <w:rsid w:val="00F76B41"/>
    <w:rsid w:val="00F771E4"/>
    <w:rsid w:val="00F81271"/>
    <w:rsid w:val="00F82403"/>
    <w:rsid w:val="00F84BFA"/>
    <w:rsid w:val="00F84F96"/>
    <w:rsid w:val="00F8656C"/>
    <w:rsid w:val="00F90742"/>
    <w:rsid w:val="00F907E2"/>
    <w:rsid w:val="00F91C06"/>
    <w:rsid w:val="00F92C8B"/>
    <w:rsid w:val="00F939BA"/>
    <w:rsid w:val="00F95D73"/>
    <w:rsid w:val="00FA0F9B"/>
    <w:rsid w:val="00FA20B5"/>
    <w:rsid w:val="00FA2765"/>
    <w:rsid w:val="00FA30B7"/>
    <w:rsid w:val="00FA312A"/>
    <w:rsid w:val="00FA31F3"/>
    <w:rsid w:val="00FA6750"/>
    <w:rsid w:val="00FA78EA"/>
    <w:rsid w:val="00FB4F99"/>
    <w:rsid w:val="00FB5C74"/>
    <w:rsid w:val="00FB759F"/>
    <w:rsid w:val="00FB7AE9"/>
    <w:rsid w:val="00FC0AAE"/>
    <w:rsid w:val="00FC2E84"/>
    <w:rsid w:val="00FC3DD3"/>
    <w:rsid w:val="00FC49D9"/>
    <w:rsid w:val="00FC6692"/>
    <w:rsid w:val="00FC6BC6"/>
    <w:rsid w:val="00FC6D1C"/>
    <w:rsid w:val="00FC70ED"/>
    <w:rsid w:val="00FD0712"/>
    <w:rsid w:val="00FD1544"/>
    <w:rsid w:val="00FD255F"/>
    <w:rsid w:val="00FD496E"/>
    <w:rsid w:val="00FD5829"/>
    <w:rsid w:val="00FD67E8"/>
    <w:rsid w:val="00FE0781"/>
    <w:rsid w:val="00FE12F3"/>
    <w:rsid w:val="00FE1B98"/>
    <w:rsid w:val="00FE2428"/>
    <w:rsid w:val="00FE4C82"/>
    <w:rsid w:val="00FE53B9"/>
    <w:rsid w:val="00FE773B"/>
    <w:rsid w:val="00FF038F"/>
    <w:rsid w:val="00FF14AE"/>
    <w:rsid w:val="00FF26ED"/>
    <w:rsid w:val="00FF2B11"/>
    <w:rsid w:val="00FF6372"/>
    <w:rsid w:val="00FF6BCD"/>
    <w:rsid w:val="00FF6C3E"/>
    <w:rsid w:val="00FF6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a8">
    <w:name w:val="Знак"/>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9">
    <w:name w:val="List Paragraph"/>
    <w:basedOn w:val="a"/>
    <w:uiPriority w:val="34"/>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iPriority w:val="99"/>
    <w:qFormat/>
    <w:rsid w:val="0006208E"/>
    <w:pPr>
      <w:overflowPunct/>
      <w:autoSpaceDE/>
      <w:autoSpaceDN/>
      <w:adjustRightInd/>
      <w:spacing w:before="100" w:beforeAutospacing="1" w:after="100" w:afterAutospacing="1"/>
    </w:pPr>
    <w:rPr>
      <w:sz w:val="24"/>
      <w:szCs w:val="24"/>
    </w:rPr>
  </w:style>
  <w:style w:type="character" w:styleId="ac">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d">
    <w:name w:val="header"/>
    <w:basedOn w:val="a"/>
    <w:link w:val="ae"/>
    <w:rsid w:val="004023EE"/>
    <w:pPr>
      <w:tabs>
        <w:tab w:val="center" w:pos="4677"/>
        <w:tab w:val="right" w:pos="9355"/>
      </w:tabs>
    </w:pPr>
  </w:style>
  <w:style w:type="character" w:customStyle="1" w:styleId="ae">
    <w:name w:val="Верхний колонтитул Знак"/>
    <w:basedOn w:val="a0"/>
    <w:link w:val="ad"/>
    <w:rsid w:val="004023EE"/>
  </w:style>
  <w:style w:type="paragraph" w:styleId="af">
    <w:name w:val="footer"/>
    <w:basedOn w:val="a"/>
    <w:link w:val="af0"/>
    <w:rsid w:val="004023EE"/>
    <w:pPr>
      <w:tabs>
        <w:tab w:val="center" w:pos="4677"/>
        <w:tab w:val="right" w:pos="9355"/>
      </w:tabs>
    </w:pPr>
  </w:style>
  <w:style w:type="character" w:customStyle="1" w:styleId="af0">
    <w:name w:val="Нижний колонтитул Знак"/>
    <w:basedOn w:val="a0"/>
    <w:link w:val="af"/>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
    <w:name w:val="Заголовок №1_"/>
    <w:link w:val="10"/>
    <w:uiPriority w:val="99"/>
    <w:locked/>
    <w:rsid w:val="00B76770"/>
    <w:rPr>
      <w:b/>
      <w:bCs/>
      <w:sz w:val="27"/>
      <w:szCs w:val="27"/>
      <w:shd w:val="clear" w:color="auto" w:fill="FFFFFF"/>
    </w:rPr>
  </w:style>
  <w:style w:type="paragraph" w:customStyle="1" w:styleId="10">
    <w:name w:val="Заголовок №1"/>
    <w:basedOn w:val="a"/>
    <w:link w:val="1"/>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a8">
    <w:name w:val="Знак"/>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9">
    <w:name w:val="List Paragraph"/>
    <w:basedOn w:val="a"/>
    <w:uiPriority w:val="34"/>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iPriority w:val="99"/>
    <w:qFormat/>
    <w:rsid w:val="0006208E"/>
    <w:pPr>
      <w:overflowPunct/>
      <w:autoSpaceDE/>
      <w:autoSpaceDN/>
      <w:adjustRightInd/>
      <w:spacing w:before="100" w:beforeAutospacing="1" w:after="100" w:afterAutospacing="1"/>
    </w:pPr>
    <w:rPr>
      <w:sz w:val="24"/>
      <w:szCs w:val="24"/>
    </w:rPr>
  </w:style>
  <w:style w:type="character" w:styleId="ac">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d">
    <w:name w:val="header"/>
    <w:basedOn w:val="a"/>
    <w:link w:val="ae"/>
    <w:rsid w:val="004023EE"/>
    <w:pPr>
      <w:tabs>
        <w:tab w:val="center" w:pos="4677"/>
        <w:tab w:val="right" w:pos="9355"/>
      </w:tabs>
    </w:pPr>
  </w:style>
  <w:style w:type="character" w:customStyle="1" w:styleId="ae">
    <w:name w:val="Верхний колонтитул Знак"/>
    <w:basedOn w:val="a0"/>
    <w:link w:val="ad"/>
    <w:rsid w:val="004023EE"/>
  </w:style>
  <w:style w:type="paragraph" w:styleId="af">
    <w:name w:val="footer"/>
    <w:basedOn w:val="a"/>
    <w:link w:val="af0"/>
    <w:rsid w:val="004023EE"/>
    <w:pPr>
      <w:tabs>
        <w:tab w:val="center" w:pos="4677"/>
        <w:tab w:val="right" w:pos="9355"/>
      </w:tabs>
    </w:pPr>
  </w:style>
  <w:style w:type="character" w:customStyle="1" w:styleId="af0">
    <w:name w:val="Нижний колонтитул Знак"/>
    <w:basedOn w:val="a0"/>
    <w:link w:val="af"/>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
    <w:name w:val="Заголовок №1_"/>
    <w:link w:val="10"/>
    <w:uiPriority w:val="99"/>
    <w:locked/>
    <w:rsid w:val="00B76770"/>
    <w:rPr>
      <w:b/>
      <w:bCs/>
      <w:sz w:val="27"/>
      <w:szCs w:val="27"/>
      <w:shd w:val="clear" w:color="auto" w:fill="FFFFFF"/>
    </w:rPr>
  </w:style>
  <w:style w:type="paragraph" w:customStyle="1" w:styleId="10">
    <w:name w:val="Заголовок №1"/>
    <w:basedOn w:val="a"/>
    <w:link w:val="1"/>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9366">
      <w:bodyDiv w:val="1"/>
      <w:marLeft w:val="0"/>
      <w:marRight w:val="0"/>
      <w:marTop w:val="0"/>
      <w:marBottom w:val="0"/>
      <w:divBdr>
        <w:top w:val="none" w:sz="0" w:space="0" w:color="auto"/>
        <w:left w:val="none" w:sz="0" w:space="0" w:color="auto"/>
        <w:bottom w:val="none" w:sz="0" w:space="0" w:color="auto"/>
        <w:right w:val="none" w:sz="0" w:space="0" w:color="auto"/>
      </w:divBdr>
    </w:div>
    <w:div w:id="124937017">
      <w:bodyDiv w:val="1"/>
      <w:marLeft w:val="0"/>
      <w:marRight w:val="0"/>
      <w:marTop w:val="0"/>
      <w:marBottom w:val="0"/>
      <w:divBdr>
        <w:top w:val="none" w:sz="0" w:space="0" w:color="auto"/>
        <w:left w:val="none" w:sz="0" w:space="0" w:color="auto"/>
        <w:bottom w:val="none" w:sz="0" w:space="0" w:color="auto"/>
        <w:right w:val="none" w:sz="0" w:space="0" w:color="auto"/>
      </w:divBdr>
    </w:div>
    <w:div w:id="247928521">
      <w:bodyDiv w:val="1"/>
      <w:marLeft w:val="0"/>
      <w:marRight w:val="0"/>
      <w:marTop w:val="0"/>
      <w:marBottom w:val="0"/>
      <w:divBdr>
        <w:top w:val="none" w:sz="0" w:space="0" w:color="auto"/>
        <w:left w:val="none" w:sz="0" w:space="0" w:color="auto"/>
        <w:bottom w:val="none" w:sz="0" w:space="0" w:color="auto"/>
        <w:right w:val="none" w:sz="0" w:space="0" w:color="auto"/>
      </w:divBdr>
    </w:div>
    <w:div w:id="288904904">
      <w:bodyDiv w:val="1"/>
      <w:marLeft w:val="0"/>
      <w:marRight w:val="0"/>
      <w:marTop w:val="0"/>
      <w:marBottom w:val="0"/>
      <w:divBdr>
        <w:top w:val="none" w:sz="0" w:space="0" w:color="auto"/>
        <w:left w:val="none" w:sz="0" w:space="0" w:color="auto"/>
        <w:bottom w:val="none" w:sz="0" w:space="0" w:color="auto"/>
        <w:right w:val="none" w:sz="0" w:space="0" w:color="auto"/>
      </w:divBdr>
    </w:div>
    <w:div w:id="347603403">
      <w:bodyDiv w:val="1"/>
      <w:marLeft w:val="0"/>
      <w:marRight w:val="0"/>
      <w:marTop w:val="0"/>
      <w:marBottom w:val="0"/>
      <w:divBdr>
        <w:top w:val="none" w:sz="0" w:space="0" w:color="auto"/>
        <w:left w:val="none" w:sz="0" w:space="0" w:color="auto"/>
        <w:bottom w:val="none" w:sz="0" w:space="0" w:color="auto"/>
        <w:right w:val="none" w:sz="0" w:space="0" w:color="auto"/>
      </w:divBdr>
    </w:div>
    <w:div w:id="374279469">
      <w:bodyDiv w:val="1"/>
      <w:marLeft w:val="0"/>
      <w:marRight w:val="0"/>
      <w:marTop w:val="0"/>
      <w:marBottom w:val="0"/>
      <w:divBdr>
        <w:top w:val="none" w:sz="0" w:space="0" w:color="auto"/>
        <w:left w:val="none" w:sz="0" w:space="0" w:color="auto"/>
        <w:bottom w:val="none" w:sz="0" w:space="0" w:color="auto"/>
        <w:right w:val="none" w:sz="0" w:space="0" w:color="auto"/>
      </w:divBdr>
    </w:div>
    <w:div w:id="480972822">
      <w:bodyDiv w:val="1"/>
      <w:marLeft w:val="0"/>
      <w:marRight w:val="0"/>
      <w:marTop w:val="0"/>
      <w:marBottom w:val="0"/>
      <w:divBdr>
        <w:top w:val="none" w:sz="0" w:space="0" w:color="auto"/>
        <w:left w:val="none" w:sz="0" w:space="0" w:color="auto"/>
        <w:bottom w:val="none" w:sz="0" w:space="0" w:color="auto"/>
        <w:right w:val="none" w:sz="0" w:space="0" w:color="auto"/>
      </w:divBdr>
    </w:div>
    <w:div w:id="512915062">
      <w:bodyDiv w:val="1"/>
      <w:marLeft w:val="0"/>
      <w:marRight w:val="0"/>
      <w:marTop w:val="0"/>
      <w:marBottom w:val="0"/>
      <w:divBdr>
        <w:top w:val="none" w:sz="0" w:space="0" w:color="auto"/>
        <w:left w:val="none" w:sz="0" w:space="0" w:color="auto"/>
        <w:bottom w:val="none" w:sz="0" w:space="0" w:color="auto"/>
        <w:right w:val="none" w:sz="0" w:space="0" w:color="auto"/>
      </w:divBdr>
    </w:div>
    <w:div w:id="545030087">
      <w:bodyDiv w:val="1"/>
      <w:marLeft w:val="0"/>
      <w:marRight w:val="0"/>
      <w:marTop w:val="0"/>
      <w:marBottom w:val="0"/>
      <w:divBdr>
        <w:top w:val="none" w:sz="0" w:space="0" w:color="auto"/>
        <w:left w:val="none" w:sz="0" w:space="0" w:color="auto"/>
        <w:bottom w:val="none" w:sz="0" w:space="0" w:color="auto"/>
        <w:right w:val="none" w:sz="0" w:space="0" w:color="auto"/>
      </w:divBdr>
    </w:div>
    <w:div w:id="609092440">
      <w:bodyDiv w:val="1"/>
      <w:marLeft w:val="0"/>
      <w:marRight w:val="0"/>
      <w:marTop w:val="0"/>
      <w:marBottom w:val="0"/>
      <w:divBdr>
        <w:top w:val="none" w:sz="0" w:space="0" w:color="auto"/>
        <w:left w:val="none" w:sz="0" w:space="0" w:color="auto"/>
        <w:bottom w:val="none" w:sz="0" w:space="0" w:color="auto"/>
        <w:right w:val="none" w:sz="0" w:space="0" w:color="auto"/>
      </w:divBdr>
    </w:div>
    <w:div w:id="641423357">
      <w:bodyDiv w:val="1"/>
      <w:marLeft w:val="0"/>
      <w:marRight w:val="0"/>
      <w:marTop w:val="0"/>
      <w:marBottom w:val="0"/>
      <w:divBdr>
        <w:top w:val="none" w:sz="0" w:space="0" w:color="auto"/>
        <w:left w:val="none" w:sz="0" w:space="0" w:color="auto"/>
        <w:bottom w:val="none" w:sz="0" w:space="0" w:color="auto"/>
        <w:right w:val="none" w:sz="0" w:space="0" w:color="auto"/>
      </w:divBdr>
    </w:div>
    <w:div w:id="670376408">
      <w:bodyDiv w:val="1"/>
      <w:marLeft w:val="0"/>
      <w:marRight w:val="0"/>
      <w:marTop w:val="0"/>
      <w:marBottom w:val="0"/>
      <w:divBdr>
        <w:top w:val="none" w:sz="0" w:space="0" w:color="auto"/>
        <w:left w:val="none" w:sz="0" w:space="0" w:color="auto"/>
        <w:bottom w:val="none" w:sz="0" w:space="0" w:color="auto"/>
        <w:right w:val="none" w:sz="0" w:space="0" w:color="auto"/>
      </w:divBdr>
    </w:div>
    <w:div w:id="743454903">
      <w:bodyDiv w:val="1"/>
      <w:marLeft w:val="0"/>
      <w:marRight w:val="0"/>
      <w:marTop w:val="0"/>
      <w:marBottom w:val="0"/>
      <w:divBdr>
        <w:top w:val="none" w:sz="0" w:space="0" w:color="auto"/>
        <w:left w:val="none" w:sz="0" w:space="0" w:color="auto"/>
        <w:bottom w:val="none" w:sz="0" w:space="0" w:color="auto"/>
        <w:right w:val="none" w:sz="0" w:space="0" w:color="auto"/>
      </w:divBdr>
    </w:div>
    <w:div w:id="800926526">
      <w:bodyDiv w:val="1"/>
      <w:marLeft w:val="0"/>
      <w:marRight w:val="0"/>
      <w:marTop w:val="0"/>
      <w:marBottom w:val="0"/>
      <w:divBdr>
        <w:top w:val="none" w:sz="0" w:space="0" w:color="auto"/>
        <w:left w:val="none" w:sz="0" w:space="0" w:color="auto"/>
        <w:bottom w:val="none" w:sz="0" w:space="0" w:color="auto"/>
        <w:right w:val="none" w:sz="0" w:space="0" w:color="auto"/>
      </w:divBdr>
    </w:div>
    <w:div w:id="869879525">
      <w:bodyDiv w:val="1"/>
      <w:marLeft w:val="0"/>
      <w:marRight w:val="0"/>
      <w:marTop w:val="0"/>
      <w:marBottom w:val="0"/>
      <w:divBdr>
        <w:top w:val="none" w:sz="0" w:space="0" w:color="auto"/>
        <w:left w:val="none" w:sz="0" w:space="0" w:color="auto"/>
        <w:bottom w:val="none" w:sz="0" w:space="0" w:color="auto"/>
        <w:right w:val="none" w:sz="0" w:space="0" w:color="auto"/>
      </w:divBdr>
    </w:div>
    <w:div w:id="943147872">
      <w:bodyDiv w:val="1"/>
      <w:marLeft w:val="0"/>
      <w:marRight w:val="0"/>
      <w:marTop w:val="0"/>
      <w:marBottom w:val="0"/>
      <w:divBdr>
        <w:top w:val="none" w:sz="0" w:space="0" w:color="auto"/>
        <w:left w:val="none" w:sz="0" w:space="0" w:color="auto"/>
        <w:bottom w:val="none" w:sz="0" w:space="0" w:color="auto"/>
        <w:right w:val="none" w:sz="0" w:space="0" w:color="auto"/>
      </w:divBdr>
    </w:div>
    <w:div w:id="988905215">
      <w:bodyDiv w:val="1"/>
      <w:marLeft w:val="0"/>
      <w:marRight w:val="0"/>
      <w:marTop w:val="0"/>
      <w:marBottom w:val="0"/>
      <w:divBdr>
        <w:top w:val="none" w:sz="0" w:space="0" w:color="auto"/>
        <w:left w:val="none" w:sz="0" w:space="0" w:color="auto"/>
        <w:bottom w:val="none" w:sz="0" w:space="0" w:color="auto"/>
        <w:right w:val="none" w:sz="0" w:space="0" w:color="auto"/>
      </w:divBdr>
    </w:div>
    <w:div w:id="1023896264">
      <w:bodyDiv w:val="1"/>
      <w:marLeft w:val="0"/>
      <w:marRight w:val="0"/>
      <w:marTop w:val="0"/>
      <w:marBottom w:val="0"/>
      <w:divBdr>
        <w:top w:val="none" w:sz="0" w:space="0" w:color="auto"/>
        <w:left w:val="none" w:sz="0" w:space="0" w:color="auto"/>
        <w:bottom w:val="none" w:sz="0" w:space="0" w:color="auto"/>
        <w:right w:val="none" w:sz="0" w:space="0" w:color="auto"/>
      </w:divBdr>
    </w:div>
    <w:div w:id="1025717617">
      <w:bodyDiv w:val="1"/>
      <w:marLeft w:val="0"/>
      <w:marRight w:val="0"/>
      <w:marTop w:val="0"/>
      <w:marBottom w:val="0"/>
      <w:divBdr>
        <w:top w:val="none" w:sz="0" w:space="0" w:color="auto"/>
        <w:left w:val="none" w:sz="0" w:space="0" w:color="auto"/>
        <w:bottom w:val="none" w:sz="0" w:space="0" w:color="auto"/>
        <w:right w:val="none" w:sz="0" w:space="0" w:color="auto"/>
      </w:divBdr>
    </w:div>
    <w:div w:id="1081945747">
      <w:bodyDiv w:val="1"/>
      <w:marLeft w:val="0"/>
      <w:marRight w:val="0"/>
      <w:marTop w:val="0"/>
      <w:marBottom w:val="0"/>
      <w:divBdr>
        <w:top w:val="none" w:sz="0" w:space="0" w:color="auto"/>
        <w:left w:val="none" w:sz="0" w:space="0" w:color="auto"/>
        <w:bottom w:val="none" w:sz="0" w:space="0" w:color="auto"/>
        <w:right w:val="none" w:sz="0" w:space="0" w:color="auto"/>
      </w:divBdr>
    </w:div>
    <w:div w:id="1108156108">
      <w:bodyDiv w:val="1"/>
      <w:marLeft w:val="0"/>
      <w:marRight w:val="0"/>
      <w:marTop w:val="0"/>
      <w:marBottom w:val="0"/>
      <w:divBdr>
        <w:top w:val="none" w:sz="0" w:space="0" w:color="auto"/>
        <w:left w:val="none" w:sz="0" w:space="0" w:color="auto"/>
        <w:bottom w:val="none" w:sz="0" w:space="0" w:color="auto"/>
        <w:right w:val="none" w:sz="0" w:space="0" w:color="auto"/>
      </w:divBdr>
    </w:div>
    <w:div w:id="1118716973">
      <w:bodyDiv w:val="1"/>
      <w:marLeft w:val="0"/>
      <w:marRight w:val="0"/>
      <w:marTop w:val="0"/>
      <w:marBottom w:val="0"/>
      <w:divBdr>
        <w:top w:val="none" w:sz="0" w:space="0" w:color="auto"/>
        <w:left w:val="none" w:sz="0" w:space="0" w:color="auto"/>
        <w:bottom w:val="none" w:sz="0" w:space="0" w:color="auto"/>
        <w:right w:val="none" w:sz="0" w:space="0" w:color="auto"/>
      </w:divBdr>
    </w:div>
    <w:div w:id="1123034564">
      <w:bodyDiv w:val="1"/>
      <w:marLeft w:val="0"/>
      <w:marRight w:val="0"/>
      <w:marTop w:val="0"/>
      <w:marBottom w:val="0"/>
      <w:divBdr>
        <w:top w:val="none" w:sz="0" w:space="0" w:color="auto"/>
        <w:left w:val="none" w:sz="0" w:space="0" w:color="auto"/>
        <w:bottom w:val="none" w:sz="0" w:space="0" w:color="auto"/>
        <w:right w:val="none" w:sz="0" w:space="0" w:color="auto"/>
      </w:divBdr>
    </w:div>
    <w:div w:id="1199468419">
      <w:bodyDiv w:val="1"/>
      <w:marLeft w:val="0"/>
      <w:marRight w:val="0"/>
      <w:marTop w:val="0"/>
      <w:marBottom w:val="0"/>
      <w:divBdr>
        <w:top w:val="none" w:sz="0" w:space="0" w:color="auto"/>
        <w:left w:val="none" w:sz="0" w:space="0" w:color="auto"/>
        <w:bottom w:val="none" w:sz="0" w:space="0" w:color="auto"/>
        <w:right w:val="none" w:sz="0" w:space="0" w:color="auto"/>
      </w:divBdr>
    </w:div>
    <w:div w:id="1204826229">
      <w:bodyDiv w:val="1"/>
      <w:marLeft w:val="0"/>
      <w:marRight w:val="0"/>
      <w:marTop w:val="0"/>
      <w:marBottom w:val="0"/>
      <w:divBdr>
        <w:top w:val="none" w:sz="0" w:space="0" w:color="auto"/>
        <w:left w:val="none" w:sz="0" w:space="0" w:color="auto"/>
        <w:bottom w:val="none" w:sz="0" w:space="0" w:color="auto"/>
        <w:right w:val="none" w:sz="0" w:space="0" w:color="auto"/>
      </w:divBdr>
    </w:div>
    <w:div w:id="1242059967">
      <w:bodyDiv w:val="1"/>
      <w:marLeft w:val="0"/>
      <w:marRight w:val="0"/>
      <w:marTop w:val="0"/>
      <w:marBottom w:val="0"/>
      <w:divBdr>
        <w:top w:val="none" w:sz="0" w:space="0" w:color="auto"/>
        <w:left w:val="none" w:sz="0" w:space="0" w:color="auto"/>
        <w:bottom w:val="none" w:sz="0" w:space="0" w:color="auto"/>
        <w:right w:val="none" w:sz="0" w:space="0" w:color="auto"/>
      </w:divBdr>
    </w:div>
    <w:div w:id="1339849836">
      <w:bodyDiv w:val="1"/>
      <w:marLeft w:val="0"/>
      <w:marRight w:val="0"/>
      <w:marTop w:val="0"/>
      <w:marBottom w:val="0"/>
      <w:divBdr>
        <w:top w:val="none" w:sz="0" w:space="0" w:color="auto"/>
        <w:left w:val="none" w:sz="0" w:space="0" w:color="auto"/>
        <w:bottom w:val="none" w:sz="0" w:space="0" w:color="auto"/>
        <w:right w:val="none" w:sz="0" w:space="0" w:color="auto"/>
      </w:divBdr>
    </w:div>
    <w:div w:id="1361973738">
      <w:bodyDiv w:val="1"/>
      <w:marLeft w:val="0"/>
      <w:marRight w:val="0"/>
      <w:marTop w:val="0"/>
      <w:marBottom w:val="0"/>
      <w:divBdr>
        <w:top w:val="none" w:sz="0" w:space="0" w:color="auto"/>
        <w:left w:val="none" w:sz="0" w:space="0" w:color="auto"/>
        <w:bottom w:val="none" w:sz="0" w:space="0" w:color="auto"/>
        <w:right w:val="none" w:sz="0" w:space="0" w:color="auto"/>
      </w:divBdr>
    </w:div>
    <w:div w:id="1390809210">
      <w:bodyDiv w:val="1"/>
      <w:marLeft w:val="0"/>
      <w:marRight w:val="0"/>
      <w:marTop w:val="0"/>
      <w:marBottom w:val="0"/>
      <w:divBdr>
        <w:top w:val="none" w:sz="0" w:space="0" w:color="auto"/>
        <w:left w:val="none" w:sz="0" w:space="0" w:color="auto"/>
        <w:bottom w:val="none" w:sz="0" w:space="0" w:color="auto"/>
        <w:right w:val="none" w:sz="0" w:space="0" w:color="auto"/>
      </w:divBdr>
    </w:div>
    <w:div w:id="1439452421">
      <w:bodyDiv w:val="1"/>
      <w:marLeft w:val="0"/>
      <w:marRight w:val="0"/>
      <w:marTop w:val="0"/>
      <w:marBottom w:val="0"/>
      <w:divBdr>
        <w:top w:val="none" w:sz="0" w:space="0" w:color="auto"/>
        <w:left w:val="none" w:sz="0" w:space="0" w:color="auto"/>
        <w:bottom w:val="none" w:sz="0" w:space="0" w:color="auto"/>
        <w:right w:val="none" w:sz="0" w:space="0" w:color="auto"/>
      </w:divBdr>
    </w:div>
    <w:div w:id="1457944760">
      <w:bodyDiv w:val="1"/>
      <w:marLeft w:val="0"/>
      <w:marRight w:val="0"/>
      <w:marTop w:val="0"/>
      <w:marBottom w:val="0"/>
      <w:divBdr>
        <w:top w:val="none" w:sz="0" w:space="0" w:color="auto"/>
        <w:left w:val="none" w:sz="0" w:space="0" w:color="auto"/>
        <w:bottom w:val="none" w:sz="0" w:space="0" w:color="auto"/>
        <w:right w:val="none" w:sz="0" w:space="0" w:color="auto"/>
      </w:divBdr>
    </w:div>
    <w:div w:id="1529875297">
      <w:bodyDiv w:val="1"/>
      <w:marLeft w:val="0"/>
      <w:marRight w:val="0"/>
      <w:marTop w:val="0"/>
      <w:marBottom w:val="0"/>
      <w:divBdr>
        <w:top w:val="none" w:sz="0" w:space="0" w:color="auto"/>
        <w:left w:val="none" w:sz="0" w:space="0" w:color="auto"/>
        <w:bottom w:val="none" w:sz="0" w:space="0" w:color="auto"/>
        <w:right w:val="none" w:sz="0" w:space="0" w:color="auto"/>
      </w:divBdr>
    </w:div>
    <w:div w:id="1558391550">
      <w:bodyDiv w:val="1"/>
      <w:marLeft w:val="0"/>
      <w:marRight w:val="0"/>
      <w:marTop w:val="0"/>
      <w:marBottom w:val="0"/>
      <w:divBdr>
        <w:top w:val="none" w:sz="0" w:space="0" w:color="auto"/>
        <w:left w:val="none" w:sz="0" w:space="0" w:color="auto"/>
        <w:bottom w:val="none" w:sz="0" w:space="0" w:color="auto"/>
        <w:right w:val="none" w:sz="0" w:space="0" w:color="auto"/>
      </w:divBdr>
    </w:div>
    <w:div w:id="1627158598">
      <w:bodyDiv w:val="1"/>
      <w:marLeft w:val="0"/>
      <w:marRight w:val="0"/>
      <w:marTop w:val="0"/>
      <w:marBottom w:val="0"/>
      <w:divBdr>
        <w:top w:val="none" w:sz="0" w:space="0" w:color="auto"/>
        <w:left w:val="none" w:sz="0" w:space="0" w:color="auto"/>
        <w:bottom w:val="none" w:sz="0" w:space="0" w:color="auto"/>
        <w:right w:val="none" w:sz="0" w:space="0" w:color="auto"/>
      </w:divBdr>
    </w:div>
    <w:div w:id="1662200332">
      <w:bodyDiv w:val="1"/>
      <w:marLeft w:val="0"/>
      <w:marRight w:val="0"/>
      <w:marTop w:val="0"/>
      <w:marBottom w:val="0"/>
      <w:divBdr>
        <w:top w:val="none" w:sz="0" w:space="0" w:color="auto"/>
        <w:left w:val="none" w:sz="0" w:space="0" w:color="auto"/>
        <w:bottom w:val="none" w:sz="0" w:space="0" w:color="auto"/>
        <w:right w:val="none" w:sz="0" w:space="0" w:color="auto"/>
      </w:divBdr>
    </w:div>
    <w:div w:id="1665545275">
      <w:bodyDiv w:val="1"/>
      <w:marLeft w:val="0"/>
      <w:marRight w:val="0"/>
      <w:marTop w:val="0"/>
      <w:marBottom w:val="0"/>
      <w:divBdr>
        <w:top w:val="none" w:sz="0" w:space="0" w:color="auto"/>
        <w:left w:val="none" w:sz="0" w:space="0" w:color="auto"/>
        <w:bottom w:val="none" w:sz="0" w:space="0" w:color="auto"/>
        <w:right w:val="none" w:sz="0" w:space="0" w:color="auto"/>
      </w:divBdr>
    </w:div>
    <w:div w:id="1756048456">
      <w:bodyDiv w:val="1"/>
      <w:marLeft w:val="0"/>
      <w:marRight w:val="0"/>
      <w:marTop w:val="0"/>
      <w:marBottom w:val="0"/>
      <w:divBdr>
        <w:top w:val="none" w:sz="0" w:space="0" w:color="auto"/>
        <w:left w:val="none" w:sz="0" w:space="0" w:color="auto"/>
        <w:bottom w:val="none" w:sz="0" w:space="0" w:color="auto"/>
        <w:right w:val="none" w:sz="0" w:space="0" w:color="auto"/>
      </w:divBdr>
    </w:div>
    <w:div w:id="1771700528">
      <w:bodyDiv w:val="1"/>
      <w:marLeft w:val="0"/>
      <w:marRight w:val="0"/>
      <w:marTop w:val="0"/>
      <w:marBottom w:val="0"/>
      <w:divBdr>
        <w:top w:val="none" w:sz="0" w:space="0" w:color="auto"/>
        <w:left w:val="none" w:sz="0" w:space="0" w:color="auto"/>
        <w:bottom w:val="none" w:sz="0" w:space="0" w:color="auto"/>
        <w:right w:val="none" w:sz="0" w:space="0" w:color="auto"/>
      </w:divBdr>
    </w:div>
    <w:div w:id="1836913670">
      <w:bodyDiv w:val="1"/>
      <w:marLeft w:val="0"/>
      <w:marRight w:val="0"/>
      <w:marTop w:val="0"/>
      <w:marBottom w:val="0"/>
      <w:divBdr>
        <w:top w:val="none" w:sz="0" w:space="0" w:color="auto"/>
        <w:left w:val="none" w:sz="0" w:space="0" w:color="auto"/>
        <w:bottom w:val="none" w:sz="0" w:space="0" w:color="auto"/>
        <w:right w:val="none" w:sz="0" w:space="0" w:color="auto"/>
      </w:divBdr>
    </w:div>
    <w:div w:id="1909800761">
      <w:bodyDiv w:val="1"/>
      <w:marLeft w:val="0"/>
      <w:marRight w:val="0"/>
      <w:marTop w:val="0"/>
      <w:marBottom w:val="0"/>
      <w:divBdr>
        <w:top w:val="none" w:sz="0" w:space="0" w:color="auto"/>
        <w:left w:val="none" w:sz="0" w:space="0" w:color="auto"/>
        <w:bottom w:val="none" w:sz="0" w:space="0" w:color="auto"/>
        <w:right w:val="none" w:sz="0" w:space="0" w:color="auto"/>
      </w:divBdr>
    </w:div>
    <w:div w:id="1985161711">
      <w:bodyDiv w:val="1"/>
      <w:marLeft w:val="0"/>
      <w:marRight w:val="0"/>
      <w:marTop w:val="0"/>
      <w:marBottom w:val="0"/>
      <w:divBdr>
        <w:top w:val="none" w:sz="0" w:space="0" w:color="auto"/>
        <w:left w:val="none" w:sz="0" w:space="0" w:color="auto"/>
        <w:bottom w:val="none" w:sz="0" w:space="0" w:color="auto"/>
        <w:right w:val="none" w:sz="0" w:space="0" w:color="auto"/>
      </w:divBdr>
    </w:div>
    <w:div w:id="2000648421">
      <w:bodyDiv w:val="1"/>
      <w:marLeft w:val="0"/>
      <w:marRight w:val="0"/>
      <w:marTop w:val="0"/>
      <w:marBottom w:val="0"/>
      <w:divBdr>
        <w:top w:val="none" w:sz="0" w:space="0" w:color="auto"/>
        <w:left w:val="none" w:sz="0" w:space="0" w:color="auto"/>
        <w:bottom w:val="none" w:sz="0" w:space="0" w:color="auto"/>
        <w:right w:val="none" w:sz="0" w:space="0" w:color="auto"/>
      </w:divBdr>
    </w:div>
    <w:div w:id="2025548833">
      <w:bodyDiv w:val="1"/>
      <w:marLeft w:val="0"/>
      <w:marRight w:val="0"/>
      <w:marTop w:val="0"/>
      <w:marBottom w:val="0"/>
      <w:divBdr>
        <w:top w:val="none" w:sz="0" w:space="0" w:color="auto"/>
        <w:left w:val="none" w:sz="0" w:space="0" w:color="auto"/>
        <w:bottom w:val="none" w:sz="0" w:space="0" w:color="auto"/>
        <w:right w:val="none" w:sz="0" w:space="0" w:color="auto"/>
      </w:divBdr>
    </w:div>
    <w:div w:id="2088644625">
      <w:bodyDiv w:val="1"/>
      <w:marLeft w:val="0"/>
      <w:marRight w:val="0"/>
      <w:marTop w:val="0"/>
      <w:marBottom w:val="0"/>
      <w:divBdr>
        <w:top w:val="none" w:sz="0" w:space="0" w:color="auto"/>
        <w:left w:val="none" w:sz="0" w:space="0" w:color="auto"/>
        <w:bottom w:val="none" w:sz="0" w:space="0" w:color="auto"/>
        <w:right w:val="none" w:sz="0" w:space="0" w:color="auto"/>
      </w:divBdr>
    </w:div>
    <w:div w:id="21136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3;&#1072;&#1089;&#1090;&#1103;\&#1052;&#1086;&#1080;%20&#1076;&#1086;&#1082;&#1091;&#1084;&#1077;&#1085;&#1090;&#1099;\&#1055;&#1077;&#1088;&#1077;&#1087;&#1080;&#1089;&#1082;&#1072;%202012\&#1047;&#1072;&#1093;&#1072;&#1088;&#1095;&#1091;&#1082;&#1091;%20&#1086;%20&#1087;&#1088;&#1077;&#1076;&#1086;&#1089;&#1090;&#1072;&#1074;&#1083;&#1077;&#1085;&#1080;&#1080;%20&#1080;&#1085;&#1092;&#1086;&#1088;&#1084;&#1072;&#1094;&#1080;&#1080;%20&#1087;&#1086;%20&#1084;&#1086;&#1085;&#1080;&#1090;&#1086;&#1088;&#1080;&#1085;&#1075;&#1091;-%20&#1084;&#1072;&#1088;&#1090;.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640213051599738"/>
          <c:y val="3.2566762648716552E-2"/>
          <c:w val="0.57178204023823298"/>
          <c:h val="0.38039411740199136"/>
        </c:manualLayout>
      </c:layout>
      <c:lineChart>
        <c:grouping val="standard"/>
        <c:varyColors val="0"/>
        <c:ser>
          <c:idx val="0"/>
          <c:order val="0"/>
          <c:tx>
            <c:strRef>
              <c:f>Лист1!$C$2</c:f>
              <c:strCache>
                <c:ptCount val="1"/>
                <c:pt idx="0">
                  <c:v>HF (мг/м³)</c:v>
                </c:pt>
              </c:strCache>
            </c:strRef>
          </c:tx>
          <c:cat>
            <c:strRef>
              <c:f>Лист1!$B$3:$B$25</c:f>
              <c:strCache>
                <c:ptCount val="23"/>
                <c:pt idx="0">
                  <c:v>01.09.2013 00:00 - 02.09.2013 00:00</c:v>
                </c:pt>
                <c:pt idx="1">
                  <c:v>02.09.2013 00:00 - 03.09.2013 00:00</c:v>
                </c:pt>
                <c:pt idx="2">
                  <c:v>03.09.2013 00:00 - 04.09.2013 00:00</c:v>
                </c:pt>
                <c:pt idx="3">
                  <c:v>04.09.2013 00:00 - 05.09.2013 00:00</c:v>
                </c:pt>
                <c:pt idx="4">
                  <c:v>05.09.2013 00:00 - 06.09.2013 00:00</c:v>
                </c:pt>
                <c:pt idx="5">
                  <c:v>06.09.2013 00:00 - 07.09.2013 00:00</c:v>
                </c:pt>
                <c:pt idx="6">
                  <c:v>07.09.2013 00:00 - 09.09.2013 00:00</c:v>
                </c:pt>
                <c:pt idx="7">
                  <c:v>09.09.2013 00:00– 09.09.2013 00:00</c:v>
                </c:pt>
                <c:pt idx="8">
                  <c:v>09.09.2013 00:00 - 10.09.2013 00:00</c:v>
                </c:pt>
                <c:pt idx="9">
                  <c:v>10.09.2013 00:00 - 11.09.2013 00:00</c:v>
                </c:pt>
                <c:pt idx="10">
                  <c:v>11.09.2013 00:00 - 12.09.2013 00:00</c:v>
                </c:pt>
                <c:pt idx="11">
                  <c:v>12.09.2013 00:00 - 13.09.2013 00:00</c:v>
                </c:pt>
                <c:pt idx="12">
                  <c:v>13.09.2013 00:00 - 14.09.2013 00:00</c:v>
                </c:pt>
                <c:pt idx="13">
                  <c:v>14.09.2013 00:00 - 15.09.2013 00:00</c:v>
                </c:pt>
                <c:pt idx="14">
                  <c:v>15.09.2013 00:00 - 16.09.2013 00:00</c:v>
                </c:pt>
                <c:pt idx="15">
                  <c:v>16.09.2013 00:00 - 17.09.2013 00:00</c:v>
                </c:pt>
                <c:pt idx="16">
                  <c:v>17.09.2013 00:00 - 18.09.2013 00:00</c:v>
                </c:pt>
                <c:pt idx="17">
                  <c:v>18.09.2013 00:00 - 19.09.2013 00:00</c:v>
                </c:pt>
                <c:pt idx="18">
                  <c:v>19.09.2013 00:00 - 20.09.2013 00:00</c:v>
                </c:pt>
                <c:pt idx="19">
                  <c:v>20.09.2013 00:00 - 21.09.2013 00:00</c:v>
                </c:pt>
                <c:pt idx="20">
                  <c:v>21.09.2013 00:00 - 22.09.2013 00:00</c:v>
                </c:pt>
                <c:pt idx="21">
                  <c:v>22.09.2013 00:00 - 23.09.2013 00:00</c:v>
                </c:pt>
                <c:pt idx="22">
                  <c:v>23.09.2013 00:00 - 24.09.2013 00:00</c:v>
                </c:pt>
              </c:strCache>
            </c:strRef>
          </c:cat>
          <c:val>
            <c:numRef>
              <c:f>Лист1!$E$3:$E$25</c:f>
              <c:numCache>
                <c:formatCode>General</c:formatCode>
                <c:ptCount val="23"/>
                <c:pt idx="0">
                  <c:v>0.29799999999999999</c:v>
                </c:pt>
                <c:pt idx="1">
                  <c:v>0.29799999999999999</c:v>
                </c:pt>
                <c:pt idx="2">
                  <c:v>0.30599999999999999</c:v>
                </c:pt>
                <c:pt idx="3">
                  <c:v>0.314</c:v>
                </c:pt>
                <c:pt idx="4">
                  <c:v>0.31</c:v>
                </c:pt>
                <c:pt idx="5">
                  <c:v>0.308</c:v>
                </c:pt>
                <c:pt idx="6">
                  <c:v>0.31</c:v>
                </c:pt>
                <c:pt idx="7">
                  <c:v>0.31</c:v>
                </c:pt>
                <c:pt idx="8">
                  <c:v>0.31</c:v>
                </c:pt>
                <c:pt idx="9">
                  <c:v>0.31</c:v>
                </c:pt>
                <c:pt idx="10">
                  <c:v>0.31</c:v>
                </c:pt>
                <c:pt idx="11">
                  <c:v>0.31</c:v>
                </c:pt>
                <c:pt idx="12">
                  <c:v>0.31</c:v>
                </c:pt>
                <c:pt idx="13">
                  <c:v>0.316</c:v>
                </c:pt>
                <c:pt idx="14">
                  <c:v>0.32</c:v>
                </c:pt>
                <c:pt idx="15">
                  <c:v>0.32</c:v>
                </c:pt>
                <c:pt idx="16">
                  <c:v>0.32</c:v>
                </c:pt>
                <c:pt idx="17">
                  <c:v>0.32</c:v>
                </c:pt>
                <c:pt idx="18">
                  <c:v>0.32</c:v>
                </c:pt>
                <c:pt idx="19">
                  <c:v>0.32</c:v>
                </c:pt>
                <c:pt idx="20">
                  <c:v>0.32</c:v>
                </c:pt>
                <c:pt idx="21">
                  <c:v>0.3</c:v>
                </c:pt>
                <c:pt idx="22">
                  <c:v>0.32</c:v>
                </c:pt>
              </c:numCache>
            </c:numRef>
          </c:val>
          <c:smooth val="0"/>
        </c:ser>
        <c:ser>
          <c:idx val="1"/>
          <c:order val="1"/>
          <c:tx>
            <c:strRef>
              <c:f>Лист1!$G$2</c:f>
              <c:strCache>
                <c:ptCount val="1"/>
                <c:pt idx="0">
                  <c:v>SO2 (мг/м³)</c:v>
                </c:pt>
              </c:strCache>
            </c:strRef>
          </c:tx>
          <c:val>
            <c:numRef>
              <c:f>Лист1!$H$3:$H$25</c:f>
              <c:numCache>
                <c:formatCode>General</c:formatCode>
                <c:ptCount val="23"/>
                <c:pt idx="0">
                  <c:v>0.06</c:v>
                </c:pt>
                <c:pt idx="1">
                  <c:v>0.13999999999999999</c:v>
                </c:pt>
                <c:pt idx="2">
                  <c:v>9.9999999999999992E-2</c:v>
                </c:pt>
                <c:pt idx="3">
                  <c:v>0.02</c:v>
                </c:pt>
                <c:pt idx="4">
                  <c:v>0.02</c:v>
                </c:pt>
                <c:pt idx="5">
                  <c:v>0.02</c:v>
                </c:pt>
                <c:pt idx="6">
                  <c:v>0.02</c:v>
                </c:pt>
                <c:pt idx="7">
                  <c:v>0.04</c:v>
                </c:pt>
                <c:pt idx="8">
                  <c:v>0.04</c:v>
                </c:pt>
                <c:pt idx="9">
                  <c:v>0.04</c:v>
                </c:pt>
                <c:pt idx="10">
                  <c:v>0.04</c:v>
                </c:pt>
                <c:pt idx="11">
                  <c:v>0.04</c:v>
                </c:pt>
                <c:pt idx="12">
                  <c:v>0.16</c:v>
                </c:pt>
                <c:pt idx="13">
                  <c:v>0.04</c:v>
                </c:pt>
                <c:pt idx="14">
                  <c:v>0.06</c:v>
                </c:pt>
                <c:pt idx="15">
                  <c:v>0.06</c:v>
                </c:pt>
                <c:pt idx="16">
                  <c:v>0.04</c:v>
                </c:pt>
                <c:pt idx="17">
                  <c:v>0.04</c:v>
                </c:pt>
                <c:pt idx="18">
                  <c:v>0.06</c:v>
                </c:pt>
                <c:pt idx="19">
                  <c:v>0.04</c:v>
                </c:pt>
                <c:pt idx="20">
                  <c:v>0.04</c:v>
                </c:pt>
                <c:pt idx="21">
                  <c:v>0.04</c:v>
                </c:pt>
                <c:pt idx="22">
                  <c:v>0.06</c:v>
                </c:pt>
              </c:numCache>
            </c:numRef>
          </c:val>
          <c:smooth val="0"/>
        </c:ser>
        <c:ser>
          <c:idx val="2"/>
          <c:order val="2"/>
          <c:tx>
            <c:strRef>
              <c:f>Лист1!$I$2</c:f>
              <c:strCache>
                <c:ptCount val="1"/>
                <c:pt idx="0">
                  <c:v>NH3 (мг/м³)</c:v>
                </c:pt>
              </c:strCache>
            </c:strRef>
          </c:tx>
          <c:val>
            <c:numRef>
              <c:f>Лист1!$J$3:$J$25</c:f>
              <c:numCache>
                <c:formatCode>General</c:formatCode>
                <c:ptCount val="2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numCache>
            </c:numRef>
          </c:val>
          <c:smooth val="0"/>
        </c:ser>
        <c:dLbls>
          <c:showLegendKey val="0"/>
          <c:showVal val="0"/>
          <c:showCatName val="0"/>
          <c:showSerName val="0"/>
          <c:showPercent val="0"/>
          <c:showBubbleSize val="0"/>
        </c:dLbls>
        <c:marker val="1"/>
        <c:smooth val="0"/>
        <c:axId val="102054528"/>
        <c:axId val="120074624"/>
      </c:lineChart>
      <c:catAx>
        <c:axId val="102054528"/>
        <c:scaling>
          <c:orientation val="minMax"/>
        </c:scaling>
        <c:delete val="0"/>
        <c:axPos val="b"/>
        <c:majorTickMark val="none"/>
        <c:minorTickMark val="none"/>
        <c:tickLblPos val="nextTo"/>
        <c:crossAx val="120074624"/>
        <c:crosses val="autoZero"/>
        <c:auto val="1"/>
        <c:lblAlgn val="ctr"/>
        <c:lblOffset val="100"/>
        <c:noMultiLvlLbl val="0"/>
      </c:catAx>
      <c:valAx>
        <c:axId val="120074624"/>
        <c:scaling>
          <c:orientation val="minMax"/>
        </c:scaling>
        <c:delete val="0"/>
        <c:axPos val="l"/>
        <c:majorGridlines/>
        <c:title>
          <c:tx>
            <c:rich>
              <a:bodyPr/>
              <a:lstStyle/>
              <a:p>
                <a:pPr>
                  <a:defRPr/>
                </a:pPr>
                <a:r>
                  <a:rPr lang="ru-RU"/>
                  <a:t>Отношение к ПДК</a:t>
                </a:r>
              </a:p>
            </c:rich>
          </c:tx>
          <c:layout/>
          <c:overlay val="0"/>
        </c:title>
        <c:numFmt formatCode="General" sourceLinked="1"/>
        <c:majorTickMark val="none"/>
        <c:minorTickMark val="none"/>
        <c:tickLblPos val="nextTo"/>
        <c:crossAx val="102054528"/>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Лист1!$C$33</c:f>
              <c:strCache>
                <c:ptCount val="1"/>
                <c:pt idx="0">
                  <c:v>HF (мг/м³)</c:v>
                </c:pt>
              </c:strCache>
            </c:strRef>
          </c:tx>
          <c:cat>
            <c:strRef>
              <c:f>Лист1!$B$34:$B$56</c:f>
              <c:strCache>
                <c:ptCount val="23"/>
                <c:pt idx="0">
                  <c:v>01.09.2013 00:00 - 02.09.2013 00:00</c:v>
                </c:pt>
                <c:pt idx="1">
                  <c:v>02.09.2013 00:00 - 03.09.2013 00:00</c:v>
                </c:pt>
                <c:pt idx="2">
                  <c:v>03.09.2013 00:00 - 04.09.2013 00:00</c:v>
                </c:pt>
                <c:pt idx="3">
                  <c:v>04.09.2013 00:00 - 05.09.2013 00:00</c:v>
                </c:pt>
                <c:pt idx="4">
                  <c:v>05.09.2013 00:00 - 06.09.2013 00:00</c:v>
                </c:pt>
                <c:pt idx="5">
                  <c:v>06.09.2013 00:00 - 07.09.2013 00:00</c:v>
                </c:pt>
                <c:pt idx="6">
                  <c:v>07.09.2013 00:00 - 08.09.2013 00:00</c:v>
                </c:pt>
                <c:pt idx="7">
                  <c:v>08.09.2013 00:00 - 09.09.2013 00:00</c:v>
                </c:pt>
                <c:pt idx="8">
                  <c:v>09.09.2013 00:00 - 10.09.2013 00:00</c:v>
                </c:pt>
                <c:pt idx="9">
                  <c:v>10.09.2013 00:00 - 11.09.2013 00:00</c:v>
                </c:pt>
                <c:pt idx="10">
                  <c:v>11.09.2013 00:00 - 12.09.2013 00:00</c:v>
                </c:pt>
                <c:pt idx="11">
                  <c:v>12.09.2013 00:00 - 13.09.2013 00:00</c:v>
                </c:pt>
                <c:pt idx="12">
                  <c:v>13.09.2013 00:00 - 14.09.2013 00:00</c:v>
                </c:pt>
                <c:pt idx="13">
                  <c:v>14.09.2013 00:00 - 15.09.2013 00:00</c:v>
                </c:pt>
                <c:pt idx="14">
                  <c:v>15.09.2013 00:00 - 16.09.2013 00:00</c:v>
                </c:pt>
                <c:pt idx="15">
                  <c:v>16.09.2013 00:00 - 17.09.2013 00:00</c:v>
                </c:pt>
                <c:pt idx="16">
                  <c:v>17.09.2013 00:00 - 18.09.2013 00:00</c:v>
                </c:pt>
                <c:pt idx="17">
                  <c:v>18.09.2013 00:00 - 19.09.2013 00:00</c:v>
                </c:pt>
                <c:pt idx="18">
                  <c:v>19.09.2013 00:00 - 20.09.2013 00:00</c:v>
                </c:pt>
                <c:pt idx="19">
                  <c:v>20.09.2013 00:00 - 21.09.2013 00:00</c:v>
                </c:pt>
                <c:pt idx="20">
                  <c:v>21.09.2013 00:00 - 22.09.2013 00:00</c:v>
                </c:pt>
                <c:pt idx="21">
                  <c:v>22.09.2013 00:00 - 23.09.2013 00:00</c:v>
                </c:pt>
                <c:pt idx="22">
                  <c:v>23.09.2013 00:00 - 24.09.2013 00:00</c:v>
                </c:pt>
              </c:strCache>
            </c:strRef>
          </c:cat>
          <c:val>
            <c:numRef>
              <c:f>Лист1!$D$34:$D$56</c:f>
              <c:numCache>
                <c:formatCode>General</c:formatCode>
                <c:ptCount val="23"/>
                <c:pt idx="0">
                  <c:v>0.152</c:v>
                </c:pt>
                <c:pt idx="1">
                  <c:v>0.152</c:v>
                </c:pt>
                <c:pt idx="2">
                  <c:v>0.152</c:v>
                </c:pt>
                <c:pt idx="3">
                  <c:v>0</c:v>
                </c:pt>
                <c:pt idx="4">
                  <c:v>0.19599999999999998</c:v>
                </c:pt>
                <c:pt idx="5">
                  <c:v>0.20200000000000001</c:v>
                </c:pt>
                <c:pt idx="6">
                  <c:v>0.20600000000000002</c:v>
                </c:pt>
                <c:pt idx="7">
                  <c:v>0.20600000000000002</c:v>
                </c:pt>
                <c:pt idx="8">
                  <c:v>0.21</c:v>
                </c:pt>
                <c:pt idx="9">
                  <c:v>0.20799999999999999</c:v>
                </c:pt>
                <c:pt idx="10">
                  <c:v>0.308</c:v>
                </c:pt>
                <c:pt idx="11">
                  <c:v>0.20799999999999999</c:v>
                </c:pt>
                <c:pt idx="12">
                  <c:v>0.216</c:v>
                </c:pt>
                <c:pt idx="13">
                  <c:v>0.22799999999999998</c:v>
                </c:pt>
                <c:pt idx="14">
                  <c:v>0.22999999999999998</c:v>
                </c:pt>
                <c:pt idx="15">
                  <c:v>0.246</c:v>
                </c:pt>
                <c:pt idx="16">
                  <c:v>0.25</c:v>
                </c:pt>
                <c:pt idx="17">
                  <c:v>0.25</c:v>
                </c:pt>
                <c:pt idx="18">
                  <c:v>0.25</c:v>
                </c:pt>
                <c:pt idx="19">
                  <c:v>0.25</c:v>
                </c:pt>
                <c:pt idx="20">
                  <c:v>0.25</c:v>
                </c:pt>
                <c:pt idx="21">
                  <c:v>0.25</c:v>
                </c:pt>
                <c:pt idx="22">
                  <c:v>0.25</c:v>
                </c:pt>
              </c:numCache>
            </c:numRef>
          </c:val>
          <c:smooth val="0"/>
        </c:ser>
        <c:ser>
          <c:idx val="1"/>
          <c:order val="1"/>
          <c:tx>
            <c:strRef>
              <c:f>Лист1!$E$33</c:f>
              <c:strCache>
                <c:ptCount val="1"/>
                <c:pt idx="0">
                  <c:v>NH3 (мг/м³)</c:v>
                </c:pt>
              </c:strCache>
            </c:strRef>
          </c:tx>
          <c:val>
            <c:numRef>
              <c:f>Лист1!$F$34:$F$56</c:f>
              <c:numCache>
                <c:formatCode>General</c:formatCode>
                <c:ptCount val="2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numCache>
            </c:numRef>
          </c:val>
          <c:smooth val="0"/>
        </c:ser>
        <c:ser>
          <c:idx val="2"/>
          <c:order val="2"/>
          <c:tx>
            <c:strRef>
              <c:f>Лист1!$G$33</c:f>
              <c:strCache>
                <c:ptCount val="1"/>
                <c:pt idx="0">
                  <c:v>SO2 (мг/м³)</c:v>
                </c:pt>
              </c:strCache>
            </c:strRef>
          </c:tx>
          <c:val>
            <c:numRef>
              <c:f>Лист1!$H$34:$H$56</c:f>
              <c:numCache>
                <c:formatCode>General</c:formatCode>
                <c:ptCount val="23"/>
                <c:pt idx="0">
                  <c:v>0.04</c:v>
                </c:pt>
                <c:pt idx="1">
                  <c:v>0.04</c:v>
                </c:pt>
                <c:pt idx="2">
                  <c:v>0.04</c:v>
                </c:pt>
                <c:pt idx="3">
                  <c:v>0.06</c:v>
                </c:pt>
                <c:pt idx="4">
                  <c:v>0.02</c:v>
                </c:pt>
                <c:pt idx="5">
                  <c:v>0</c:v>
                </c:pt>
                <c:pt idx="6">
                  <c:v>0</c:v>
                </c:pt>
                <c:pt idx="7">
                  <c:v>0.02</c:v>
                </c:pt>
                <c:pt idx="8">
                  <c:v>0.02</c:v>
                </c:pt>
                <c:pt idx="9">
                  <c:v>0.02</c:v>
                </c:pt>
                <c:pt idx="10">
                  <c:v>0.02</c:v>
                </c:pt>
                <c:pt idx="11">
                  <c:v>0.02</c:v>
                </c:pt>
                <c:pt idx="12">
                  <c:v>0.02</c:v>
                </c:pt>
                <c:pt idx="13">
                  <c:v>0.02</c:v>
                </c:pt>
                <c:pt idx="14">
                  <c:v>0.02</c:v>
                </c:pt>
                <c:pt idx="15">
                  <c:v>0.02</c:v>
                </c:pt>
                <c:pt idx="16">
                  <c:v>0.02</c:v>
                </c:pt>
                <c:pt idx="17">
                  <c:v>0.02</c:v>
                </c:pt>
                <c:pt idx="18">
                  <c:v>0.02</c:v>
                </c:pt>
                <c:pt idx="19">
                  <c:v>0.02</c:v>
                </c:pt>
                <c:pt idx="20">
                  <c:v>0.02</c:v>
                </c:pt>
                <c:pt idx="21">
                  <c:v>0.02</c:v>
                </c:pt>
                <c:pt idx="22">
                  <c:v>0.02</c:v>
                </c:pt>
              </c:numCache>
            </c:numRef>
          </c:val>
          <c:smooth val="0"/>
        </c:ser>
        <c:dLbls>
          <c:showLegendKey val="0"/>
          <c:showVal val="0"/>
          <c:showCatName val="0"/>
          <c:showSerName val="0"/>
          <c:showPercent val="0"/>
          <c:showBubbleSize val="0"/>
        </c:dLbls>
        <c:marker val="1"/>
        <c:smooth val="0"/>
        <c:axId val="120100736"/>
        <c:axId val="120102272"/>
      </c:lineChart>
      <c:catAx>
        <c:axId val="120100736"/>
        <c:scaling>
          <c:orientation val="minMax"/>
        </c:scaling>
        <c:delete val="0"/>
        <c:axPos val="b"/>
        <c:majorTickMark val="none"/>
        <c:minorTickMark val="none"/>
        <c:tickLblPos val="nextTo"/>
        <c:crossAx val="120102272"/>
        <c:crosses val="autoZero"/>
        <c:auto val="1"/>
        <c:lblAlgn val="ctr"/>
        <c:lblOffset val="100"/>
        <c:noMultiLvlLbl val="0"/>
      </c:catAx>
      <c:valAx>
        <c:axId val="120102272"/>
        <c:scaling>
          <c:orientation val="minMax"/>
        </c:scaling>
        <c:delete val="0"/>
        <c:axPos val="l"/>
        <c:majorGridlines/>
        <c:title>
          <c:tx>
            <c:rich>
              <a:bodyPr/>
              <a:lstStyle/>
              <a:p>
                <a:pPr>
                  <a:defRPr/>
                </a:pPr>
                <a:r>
                  <a:rPr lang="ru-RU"/>
                  <a:t>Отношение к ПДК</a:t>
                </a:r>
              </a:p>
            </c:rich>
          </c:tx>
          <c:layout/>
          <c:overlay val="0"/>
        </c:title>
        <c:numFmt formatCode="General" sourceLinked="1"/>
        <c:majorTickMark val="none"/>
        <c:minorTickMark val="none"/>
        <c:tickLblPos val="nextTo"/>
        <c:crossAx val="120100736"/>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058DC-6816-4B42-8B7F-3BDC8454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Захарчуку о предоставлении информации по мониторингу- март</Template>
  <TotalTime>276</TotalTime>
  <Pages>7</Pages>
  <Words>1548</Words>
  <Characters>11080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11</cp:revision>
  <cp:lastPrinted>2013-11-06T05:49:00Z</cp:lastPrinted>
  <dcterms:created xsi:type="dcterms:W3CDTF">2013-09-10T06:48:00Z</dcterms:created>
  <dcterms:modified xsi:type="dcterms:W3CDTF">2013-11-06T07:56:00Z</dcterms:modified>
</cp:coreProperties>
</file>